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hd w:val="clear" w:color="auto"/>
        <w:spacing w:before="0" w:beforeAutospacing="0" w:after="0" w:afterAutospacing="0" w:line="570" w:lineRule="atLeast"/>
        <w:ind w:left="0" w:leftChars="0" w:firstLine="0" w:firstLineChars="0"/>
        <w:jc w:val="left"/>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附件1</w:t>
      </w:r>
    </w:p>
    <w:p>
      <w:pPr>
        <w:pStyle w:val="7"/>
        <w:widowControl/>
        <w:shd w:val="clear" w:color="auto"/>
        <w:spacing w:before="0" w:beforeAutospacing="0" w:after="0" w:afterAutospacing="0" w:line="570" w:lineRule="atLeast"/>
        <w:ind w:left="0" w:leftChars="0" w:firstLine="0" w:firstLineChars="0"/>
        <w:jc w:val="left"/>
        <w:rPr>
          <w:rFonts w:hint="eastAsia" w:ascii="仿宋_GB2312" w:hAnsi="仿宋_GB2312" w:eastAsia="仿宋_GB2312" w:cs="仿宋_GB2312"/>
          <w:snapToGrid w:val="0"/>
          <w:color w:val="auto"/>
          <w:kern w:val="0"/>
          <w:sz w:val="32"/>
          <w:szCs w:val="32"/>
          <w:highlight w:val="none"/>
          <w:lang w:val="en-US" w:eastAsia="zh-CN" w:bidi="ar-SA"/>
        </w:rPr>
      </w:pPr>
    </w:p>
    <w:p>
      <w:pPr>
        <w:pStyle w:val="7"/>
        <w:widowControl/>
        <w:shd w:val="clear" w:color="auto"/>
        <w:spacing w:before="0" w:beforeAutospacing="0" w:after="0" w:afterAutospacing="0" w:line="570" w:lineRule="atLeast"/>
        <w:ind w:firstLine="630"/>
        <w:jc w:val="center"/>
        <w:rPr>
          <w:rFonts w:hint="eastAsia" w:ascii="方正小标宋简体" w:hAnsi="方正小标宋简体" w:eastAsia="方正小标宋简体" w:cs="方正小标宋简体"/>
          <w:snapToGrid w:val="0"/>
          <w:color w:val="auto"/>
          <w:kern w:val="0"/>
          <w:sz w:val="44"/>
          <w:szCs w:val="44"/>
          <w:highlight w:val="none"/>
          <w:lang w:val="en-US" w:eastAsia="zh-CN" w:bidi="ar-SA"/>
        </w:rPr>
      </w:pPr>
      <w:r>
        <w:rPr>
          <w:rFonts w:hint="eastAsia" w:ascii="方正小标宋简体" w:hAnsi="方正小标宋简体" w:eastAsia="方正小标宋简体" w:cs="方正小标宋简体"/>
          <w:snapToGrid w:val="0"/>
          <w:color w:val="auto"/>
          <w:kern w:val="0"/>
          <w:sz w:val="44"/>
          <w:szCs w:val="44"/>
          <w:highlight w:val="none"/>
          <w:lang w:val="en-US" w:eastAsia="zh-CN" w:bidi="ar-SA"/>
        </w:rPr>
        <w:t>关于李一霖委员所提提案的答复意见</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eastAsia" w:ascii="黑体" w:hAnsi="黑体" w:eastAsia="黑体" w:cs="黑体"/>
          <w:snapToGrid w:val="0"/>
          <w:color w:val="auto"/>
          <w:kern w:val="0"/>
          <w:sz w:val="32"/>
          <w:szCs w:val="32"/>
          <w:highlight w:val="none"/>
          <w:lang w:val="en-US" w:eastAsia="zh-CN" w:bidi="ar-SA"/>
        </w:rPr>
      </w:pPr>
      <w:r>
        <w:rPr>
          <w:rFonts w:hint="eastAsia" w:ascii="黑体" w:hAnsi="黑体" w:eastAsia="黑体" w:cs="黑体"/>
          <w:snapToGrid w:val="0"/>
          <w:color w:val="auto"/>
          <w:kern w:val="0"/>
          <w:sz w:val="32"/>
          <w:szCs w:val="32"/>
          <w:highlight w:val="none"/>
          <w:lang w:val="en-US" w:eastAsia="zh-CN" w:bidi="ar-SA"/>
        </w:rPr>
        <w:t>一、关于“加强政府宣传引导作用”的建议</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snapToGrid w:val="0"/>
          <w:color w:val="auto"/>
          <w:kern w:val="0"/>
          <w:sz w:val="32"/>
          <w:szCs w:val="32"/>
          <w:highlight w:val="none"/>
          <w:lang w:val="en-US" w:eastAsia="zh-CN" w:bidi="ar-SA"/>
        </w:rPr>
      </w:pPr>
      <w:r>
        <w:rPr>
          <w:rFonts w:hint="eastAsia" w:ascii="Times New Roman" w:hAnsi="Times New Roman" w:eastAsia="仿宋_GB2312" w:cs="Times New Roman"/>
          <w:snapToGrid w:val="0"/>
          <w:color w:val="auto"/>
          <w:kern w:val="0"/>
          <w:sz w:val="32"/>
          <w:szCs w:val="32"/>
          <w:highlight w:val="none"/>
          <w:lang w:val="en-US" w:eastAsia="zh-CN" w:bidi="ar-SA"/>
        </w:rPr>
        <w:t>“双减”工作开展以来，我区已通过新闻媒体、微信公众号、家长会、致家长一封信等多渠道向社会广泛宣传“双减”政策。同时，通过收集“双减”工作开展过程中各学校值得推广的主要做法形成典型案例进行宣传。</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snapToGrid w:val="0"/>
          <w:color w:val="auto"/>
          <w:kern w:val="0"/>
          <w:sz w:val="32"/>
          <w:szCs w:val="32"/>
          <w:highlight w:val="none"/>
          <w:lang w:val="en-US" w:eastAsia="zh-CN" w:bidi="ar-SA"/>
        </w:rPr>
      </w:pPr>
      <w:r>
        <w:rPr>
          <w:rFonts w:hint="eastAsia" w:ascii="Times New Roman" w:hAnsi="Times New Roman" w:eastAsia="仿宋_GB2312" w:cs="Times New Roman"/>
          <w:snapToGrid w:val="0"/>
          <w:color w:val="auto"/>
          <w:kern w:val="0"/>
          <w:sz w:val="32"/>
          <w:szCs w:val="32"/>
          <w:highlight w:val="none"/>
          <w:lang w:val="en-US" w:eastAsia="zh-CN" w:bidi="ar-SA"/>
        </w:rPr>
        <w:t>下一步，我区将继续扩大宣传覆盖面，做好“双减”系列政策的宣传和解读，解答家长疑问，缓解家长对“双减”出台后的焦虑情绪。</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eastAsia" w:ascii="黑体" w:hAnsi="黑体" w:eastAsia="黑体" w:cs="黑体"/>
          <w:snapToGrid w:val="0"/>
          <w:color w:val="auto"/>
          <w:kern w:val="0"/>
          <w:sz w:val="32"/>
          <w:szCs w:val="32"/>
          <w:highlight w:val="none"/>
          <w:lang w:val="en-US" w:eastAsia="zh-CN" w:bidi="ar-SA"/>
        </w:rPr>
      </w:pPr>
      <w:r>
        <w:rPr>
          <w:rFonts w:hint="eastAsia" w:ascii="黑体" w:hAnsi="黑体" w:eastAsia="黑体" w:cs="黑体"/>
          <w:snapToGrid w:val="0"/>
          <w:color w:val="auto"/>
          <w:kern w:val="0"/>
          <w:sz w:val="32"/>
          <w:szCs w:val="32"/>
          <w:highlight w:val="none"/>
          <w:lang w:val="en-US" w:eastAsia="zh-CN" w:bidi="ar-SA"/>
        </w:rPr>
        <w:t>二、关于“充分利用政府力量多渠道整合课后服务资源”的建议</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napToGrid w:val="0"/>
          <w:color w:val="auto"/>
          <w:kern w:val="0"/>
          <w:sz w:val="32"/>
          <w:szCs w:val="32"/>
          <w:highlight w:val="none"/>
          <w:lang w:val="en-US" w:eastAsia="zh-CN" w:bidi="ar-SA"/>
        </w:rPr>
      </w:pPr>
      <w:r>
        <w:rPr>
          <w:rFonts w:hint="eastAsia" w:ascii="Times New Roman" w:hAnsi="Times New Roman" w:eastAsia="仿宋_GB2312" w:cs="Times New Roman"/>
          <w:snapToGrid w:val="0"/>
          <w:color w:val="auto"/>
          <w:kern w:val="0"/>
          <w:sz w:val="32"/>
          <w:szCs w:val="32"/>
          <w:highlight w:val="none"/>
          <w:lang w:val="en-US" w:eastAsia="zh-CN" w:bidi="ar-SA"/>
        </w:rPr>
        <w:t>我区已适当引进和利用合格的校外资源。目前有71家校外第三方机构通过严格审核，其中62家已顺利入校参与到课后服务当中。同时，充分利用社会资源，如图书馆、博物馆、文化馆、展览中心、实践基地、科普教育基地等青少年校外活动场所，积极拓展课后服务资源。截止2022年3月底，我区为义务教育阶段各学校学生共提供1146门课后服务课程，2045名教师参与到课后服务中，为学生在校内学足学好奠定了坚实的基础。</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snapToGrid w:val="0"/>
          <w:color w:val="auto"/>
          <w:kern w:val="0"/>
          <w:sz w:val="32"/>
          <w:szCs w:val="32"/>
          <w:highlight w:val="none"/>
          <w:lang w:val="en-US" w:eastAsia="zh-CN" w:bidi="ar-SA"/>
        </w:rPr>
      </w:pPr>
      <w:r>
        <w:rPr>
          <w:rFonts w:hint="eastAsia" w:ascii="Times New Roman" w:hAnsi="Times New Roman" w:eastAsia="仿宋_GB2312" w:cs="Times New Roman"/>
          <w:snapToGrid w:val="0"/>
          <w:color w:val="auto"/>
          <w:kern w:val="0"/>
          <w:sz w:val="32"/>
          <w:szCs w:val="32"/>
          <w:highlight w:val="none"/>
          <w:lang w:val="en-US" w:eastAsia="zh-CN" w:bidi="ar-SA"/>
        </w:rPr>
        <w:t>下一步，我区将与相关高校沟通，将与入校课程相关专业的优秀大学生引入学校，参与课后服务，一方面丰富了我区的课后服务资源，另一方面也为大学生提供了社会实践机会。</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eastAsia" w:ascii="黑体" w:hAnsi="黑体" w:eastAsia="黑体" w:cs="黑体"/>
          <w:snapToGrid w:val="0"/>
          <w:color w:val="auto"/>
          <w:kern w:val="0"/>
          <w:sz w:val="32"/>
          <w:szCs w:val="32"/>
          <w:highlight w:val="none"/>
          <w:lang w:val="en-US" w:eastAsia="zh-CN" w:bidi="ar-SA"/>
        </w:rPr>
      </w:pPr>
      <w:r>
        <w:rPr>
          <w:rFonts w:hint="eastAsia" w:ascii="黑体" w:hAnsi="黑体" w:eastAsia="黑体" w:cs="黑体"/>
          <w:snapToGrid w:val="0"/>
          <w:color w:val="auto"/>
          <w:kern w:val="0"/>
          <w:sz w:val="32"/>
          <w:szCs w:val="32"/>
          <w:highlight w:val="none"/>
          <w:lang w:val="en-US" w:eastAsia="zh-CN" w:bidi="ar-SA"/>
        </w:rPr>
        <w:t>三、关于“加强政府对校外教育机构的监督管理”的建议</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snapToGrid w:val="0"/>
          <w:color w:val="auto"/>
          <w:kern w:val="0"/>
          <w:sz w:val="32"/>
          <w:szCs w:val="32"/>
          <w:highlight w:val="none"/>
          <w:lang w:val="en-US" w:eastAsia="zh-CN" w:bidi="ar-SA"/>
        </w:rPr>
        <w:t>自“双减”工作开展以来，我区积极落实“双减”工作要求，加大对校外培训机构治理力度。</w:t>
      </w:r>
      <w:r>
        <w:rPr>
          <w:rFonts w:hint="eastAsia" w:ascii="Times New Roman" w:hAnsi="Times New Roman" w:eastAsia="仿宋_GB2312" w:cs="Times New Roman"/>
          <w:b/>
          <w:bCs/>
          <w:snapToGrid w:val="0"/>
          <w:color w:val="auto"/>
          <w:kern w:val="0"/>
          <w:sz w:val="32"/>
          <w:szCs w:val="32"/>
          <w:highlight w:val="none"/>
          <w:lang w:val="en-US" w:eastAsia="zh-CN" w:bidi="ar-SA"/>
        </w:rPr>
        <w:t>一是严把审批关。</w:t>
      </w:r>
      <w:r>
        <w:rPr>
          <w:rFonts w:hint="eastAsia" w:ascii="Times New Roman" w:hAnsi="Times New Roman" w:eastAsia="仿宋_GB2312" w:cs="Times New Roman"/>
          <w:snapToGrid w:val="0"/>
          <w:color w:val="auto"/>
          <w:kern w:val="0"/>
          <w:sz w:val="32"/>
          <w:szCs w:val="32"/>
          <w:highlight w:val="none"/>
          <w:lang w:val="en-US" w:eastAsia="zh-CN" w:bidi="ar-SA"/>
        </w:rPr>
        <w:t>现已停止审批面向义务教育和普通高中阶段学生的学科类校外培训机构，停止审批面向学龄前儿童的校外培训机构。目前，我区32家学科类校外培训机构转为非学科培训，10家停止办学，1家学科类培训机构选择继续学科培训，压减率达97.7%。</w:t>
      </w:r>
      <w:r>
        <w:rPr>
          <w:rFonts w:hint="eastAsia" w:ascii="Times New Roman" w:hAnsi="Times New Roman" w:eastAsia="仿宋_GB2312" w:cs="Times New Roman"/>
          <w:b/>
          <w:bCs/>
          <w:snapToGrid w:val="0"/>
          <w:color w:val="auto"/>
          <w:kern w:val="0"/>
          <w:sz w:val="32"/>
          <w:szCs w:val="32"/>
          <w:highlight w:val="none"/>
          <w:lang w:val="en-US" w:eastAsia="zh-CN" w:bidi="ar-SA"/>
        </w:rPr>
        <w:t>二是强化网格化巡查机制。</w:t>
      </w:r>
      <w:r>
        <w:rPr>
          <w:rFonts w:hint="eastAsia" w:ascii="Times New Roman" w:hAnsi="Times New Roman" w:eastAsia="仿宋_GB2312" w:cs="Times New Roman"/>
          <w:snapToGrid w:val="0"/>
          <w:color w:val="auto"/>
          <w:kern w:val="0"/>
          <w:sz w:val="32"/>
          <w:szCs w:val="32"/>
          <w:highlight w:val="none"/>
          <w:lang w:val="en-US" w:eastAsia="zh-CN" w:bidi="ar-SA"/>
        </w:rPr>
        <w:t>“双减”政策实施以来，周末、节假日、寒暑假均安排人员检查校外培训机构疫情防控、证件齐全、从业人员资质、安全管理等重点事项日常巡查。</w:t>
      </w:r>
      <w:r>
        <w:rPr>
          <w:rFonts w:hint="eastAsia" w:ascii="Times New Roman" w:hAnsi="Times New Roman" w:eastAsia="仿宋_GB2312" w:cs="Times New Roman"/>
          <w:b/>
          <w:bCs/>
          <w:snapToGrid w:val="0"/>
          <w:color w:val="auto"/>
          <w:kern w:val="0"/>
          <w:sz w:val="32"/>
          <w:szCs w:val="32"/>
          <w:highlight w:val="none"/>
          <w:lang w:val="en-US" w:eastAsia="zh-CN" w:bidi="ar-SA"/>
        </w:rPr>
        <w:t>三是加强校外培训机构预收费资金监管。</w:t>
      </w:r>
      <w:r>
        <w:rPr>
          <w:rFonts w:hint="eastAsia" w:ascii="Times New Roman" w:hAnsi="Times New Roman" w:eastAsia="仿宋_GB2312" w:cs="Times New Roman"/>
          <w:snapToGrid w:val="0"/>
          <w:color w:val="auto"/>
          <w:kern w:val="0"/>
          <w:sz w:val="32"/>
          <w:szCs w:val="32"/>
          <w:highlight w:val="none"/>
          <w:lang w:val="en-US" w:eastAsia="zh-CN" w:bidi="ar-SA"/>
        </w:rPr>
        <w:t>已完成学科类和非学科类校外培训机构预收费资金专用账户开设工作，公布了全区校外培训机构的资金监管账户账号，引导家长交费不超过3个月或单个科目不超过60个课时，实现全区学科类和非学科类校外培训机构预收费资金监管全覆盖。根据国家有关文件精神，义务教育阶段线下学科类校外培训收费依法实行政府指导价管理，对面向普通高中学生的学科类校外培训收费的管理，参照执行。非学科类培训收费暂出台限价措施。</w:t>
      </w:r>
      <w:r>
        <w:rPr>
          <w:rFonts w:hint="eastAsia" w:ascii="Times New Roman" w:hAnsi="Times New Roman" w:eastAsia="仿宋_GB2312" w:cs="Times New Roman"/>
          <w:b/>
          <w:bCs/>
          <w:snapToGrid w:val="0"/>
          <w:color w:val="auto"/>
          <w:kern w:val="0"/>
          <w:sz w:val="32"/>
          <w:szCs w:val="32"/>
          <w:highlight w:val="none"/>
          <w:lang w:val="en-US" w:eastAsia="zh-CN" w:bidi="ar-SA"/>
        </w:rPr>
        <w:t>四是公布2022年花都区校外培训机构黑白名单（第一批）和校外培训机构负面清单。</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公布举报热线，倡议教育培训机构提高行业自律。</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eastAsia" w:ascii="黑体" w:hAnsi="黑体" w:eastAsia="黑体" w:cs="黑体"/>
          <w:snapToGrid w:val="0"/>
          <w:color w:val="auto"/>
          <w:kern w:val="0"/>
          <w:sz w:val="32"/>
          <w:szCs w:val="32"/>
          <w:highlight w:val="none"/>
          <w:lang w:val="en-US" w:eastAsia="zh-CN" w:bidi="ar-SA"/>
        </w:rPr>
      </w:pPr>
      <w:r>
        <w:rPr>
          <w:rFonts w:hint="eastAsia" w:ascii="黑体" w:hAnsi="黑体" w:eastAsia="黑体" w:cs="黑体"/>
          <w:snapToGrid w:val="0"/>
          <w:color w:val="auto"/>
          <w:kern w:val="0"/>
          <w:sz w:val="32"/>
          <w:szCs w:val="32"/>
          <w:highlight w:val="none"/>
          <w:lang w:val="en-US" w:eastAsia="zh-CN" w:bidi="ar-SA"/>
        </w:rPr>
        <w:t>四、关于“联合学校、社会和家长三方，形成三位一体的教育模式，发挥家校社协同育人机制”的建议</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我局印发了《广州市花都区教育局关于落实中小学家访工作的实施方案》，通过家访向家长宣传“双减”政策内容，积极引导家长树立科学育儿观念，引导家长及其他监护人员履行好监护职责，树立“家庭是第一个课堂、家长是第一任老师”的责任意识、树立正确的家庭教育观，教育孩子养成良好思想、品行和习惯。</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年，区妇联、区教育局围绕着“双减政策出台如何做智慧父母”为主题，举办了“双减”下家长如何改变观念、“双减”下家长如何缓解焦虑，“双减”下家长如何配合家校等家庭教育讲座，引导家长理性确定孩子成长预期，帮助家长树立正确的儿童观、亲子观、教子观。</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下一步，我区计划通过“花惠行动”继续拓宽家校社联动，在全区10个街镇宣讲双减政策，让更多家长改变短视化教育观念，为减负达成共识。</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eastAsia" w:ascii="黑体" w:hAnsi="黑体" w:eastAsia="黑体" w:cs="黑体"/>
          <w:snapToGrid w:val="0"/>
          <w:color w:val="auto"/>
          <w:kern w:val="0"/>
          <w:sz w:val="32"/>
          <w:szCs w:val="32"/>
          <w:highlight w:val="none"/>
          <w:lang w:val="en-US" w:eastAsia="zh-CN" w:bidi="ar-SA"/>
        </w:rPr>
      </w:pPr>
      <w:r>
        <w:rPr>
          <w:rFonts w:hint="eastAsia" w:ascii="黑体" w:hAnsi="黑体" w:eastAsia="黑体" w:cs="黑体"/>
          <w:snapToGrid w:val="0"/>
          <w:color w:val="auto"/>
          <w:kern w:val="0"/>
          <w:sz w:val="32"/>
          <w:szCs w:val="32"/>
          <w:highlight w:val="none"/>
          <w:lang w:val="en-US" w:eastAsia="zh-CN" w:bidi="ar-SA"/>
        </w:rPr>
        <w:t>五、关于“开展区域性各项兴趣爱好类交流活动”的建议</w:t>
      </w:r>
    </w:p>
    <w:p>
      <w:pPr>
        <w:pStyle w:val="3"/>
        <w:keepNext w:val="0"/>
        <w:keepLines w:val="0"/>
        <w:pageBreakBefore w:val="0"/>
        <w:kinsoku/>
        <w:wordWrap/>
        <w:overflowPunct/>
        <w:topLinePunct w:val="0"/>
        <w:autoSpaceDE/>
        <w:autoSpaceDN/>
        <w:bidi w:val="0"/>
        <w:adjustRightInd/>
        <w:snapToGrid w:val="0"/>
        <w:spacing w:line="560" w:lineRule="exact"/>
        <w:ind w:firstLine="640"/>
        <w:jc w:val="both"/>
        <w:textAlignment w:val="auto"/>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目前，我区利用科普资源丰富学生课余生活，全区已建成43家各具特色、多元化实践的科普基地和青少年科技教育基地。鼓励和引导科普资源积极开展形式多样的科普活动丰富学生课余生活。我区还</w:t>
      </w:r>
      <w:r>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t>组织了红色科技模型暨国防教育模型竞赛、青少年创新大赛、创意机器人赛、科幻绘画、3D打印设计大赛，同时举办了花都区第三届创客大赛。</w:t>
      </w:r>
    </w:p>
    <w:p>
      <w:pPr>
        <w:pStyle w:val="3"/>
        <w:keepNext w:val="0"/>
        <w:keepLines w:val="0"/>
        <w:pageBreakBefore w:val="0"/>
        <w:kinsoku/>
        <w:wordWrap/>
        <w:overflowPunct/>
        <w:topLinePunct w:val="0"/>
        <w:autoSpaceDE/>
        <w:autoSpaceDN/>
        <w:bidi w:val="0"/>
        <w:adjustRightInd/>
        <w:snapToGrid w:val="0"/>
        <w:spacing w:line="560" w:lineRule="exact"/>
        <w:ind w:firstLine="640"/>
        <w:jc w:val="both"/>
        <w:textAlignment w:val="auto"/>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t>区妇联以“童心向党”“学党史进万家”“阅读进家庭”等主题，举办了经典美文家庭亲子诵读、2021年度羊城小先锋花都赛区比赛、花都区青少年书画大赛、“抗击疫情 童心汇爱”主题作品展示、七星小学“光速少年”暑期综合能力系列提升等等活动，让儿童寓教于乐、寓理于请，在活动中培养兴趣爱好，陶冶情操。</w:t>
      </w:r>
    </w:p>
    <w:p>
      <w:pPr>
        <w:pStyle w:val="3"/>
        <w:keepNext w:val="0"/>
        <w:keepLines w:val="0"/>
        <w:pageBreakBefore w:val="0"/>
        <w:kinsoku/>
        <w:wordWrap/>
        <w:overflowPunct/>
        <w:topLinePunct w:val="0"/>
        <w:autoSpaceDE/>
        <w:autoSpaceDN/>
        <w:bidi w:val="0"/>
        <w:adjustRightInd/>
        <w:snapToGrid w:val="0"/>
        <w:spacing w:line="560" w:lineRule="exact"/>
        <w:ind w:firstLine="640"/>
        <w:jc w:val="both"/>
        <w:textAlignment w:val="auto"/>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t>下一步，我区将把劳动教育与学生的兴趣爱好相结合，鼓励优秀的劳动教育基地及研学基地开展形式多样的活动，充分发挥科普教育基地、青少年科技教育基的作用。</w:t>
      </w:r>
    </w:p>
    <w:p>
      <w:pPr>
        <w:pStyle w:val="7"/>
        <w:keepNext w:val="0"/>
        <w:keepLines w:val="0"/>
        <w:pageBreakBefore w:val="0"/>
        <w:widowControl/>
        <w:numPr>
          <w:ilvl w:val="0"/>
          <w:numId w:val="0"/>
        </w:numPr>
        <w:shd w:val="clear" w:color="auto"/>
        <w:kinsoku/>
        <w:wordWrap/>
        <w:overflowPunct/>
        <w:topLinePunct w:val="0"/>
        <w:autoSpaceDE/>
        <w:autoSpaceDN/>
        <w:bidi w:val="0"/>
        <w:adjustRightInd/>
        <w:spacing w:before="0" w:beforeAutospacing="0" w:after="0" w:afterAutospacing="0" w:line="560" w:lineRule="exact"/>
        <w:ind w:firstLine="640" w:firstLineChars="200"/>
        <w:jc w:val="both"/>
        <w:textAlignment w:val="auto"/>
        <w:rPr>
          <w:rFonts w:hint="eastAsia" w:ascii="黑体" w:hAnsi="黑体" w:eastAsia="黑体" w:cs="黑体"/>
          <w:snapToGrid w:val="0"/>
          <w:color w:val="auto"/>
          <w:kern w:val="0"/>
          <w:sz w:val="32"/>
          <w:szCs w:val="32"/>
          <w:highlight w:val="none"/>
          <w:lang w:val="en-US" w:eastAsia="zh-CN" w:bidi="ar-SA"/>
        </w:rPr>
      </w:pPr>
      <w:r>
        <w:rPr>
          <w:rFonts w:hint="eastAsia" w:ascii="黑体" w:hAnsi="黑体" w:eastAsia="黑体" w:cs="黑体"/>
          <w:snapToGrid w:val="0"/>
          <w:color w:val="auto"/>
          <w:kern w:val="0"/>
          <w:sz w:val="32"/>
          <w:szCs w:val="32"/>
          <w:highlight w:val="none"/>
          <w:lang w:val="en-US" w:eastAsia="zh-CN" w:bidi="ar-SA"/>
        </w:rPr>
        <w:t>六、关于“探索建立社区或小区儿童之家”的建议</w:t>
      </w:r>
    </w:p>
    <w:p>
      <w:pPr>
        <w:pStyle w:val="3"/>
        <w:keepNext w:val="0"/>
        <w:keepLines w:val="0"/>
        <w:pageBreakBefore w:val="0"/>
        <w:kinsoku/>
        <w:wordWrap/>
        <w:overflowPunct/>
        <w:topLinePunct w:val="0"/>
        <w:autoSpaceDE/>
        <w:autoSpaceDN/>
        <w:bidi w:val="0"/>
        <w:adjustRightInd/>
        <w:snapToGrid w:val="0"/>
        <w:spacing w:line="560" w:lineRule="exact"/>
        <w:ind w:firstLine="640"/>
        <w:jc w:val="both"/>
        <w:textAlignment w:val="auto"/>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t>目前，我区部分社区有专人负责社区“儿童之家”的管理工作，并结合社区儿童特色建立了“心灵驿站”“四点钟讲堂”“温馨之家”“安全港湾”“学习园地”等多个板块，为小区儿童提供阅读、体育、艺术等方面的教育，丰富儿童课外生活。</w:t>
      </w:r>
    </w:p>
    <w:p>
      <w:pPr>
        <w:pStyle w:val="3"/>
        <w:keepNext w:val="0"/>
        <w:keepLines w:val="0"/>
        <w:pageBreakBefore w:val="0"/>
        <w:kinsoku/>
        <w:wordWrap/>
        <w:overflowPunct/>
        <w:topLinePunct w:val="0"/>
        <w:autoSpaceDE/>
        <w:autoSpaceDN/>
        <w:bidi w:val="0"/>
        <w:adjustRightInd/>
        <w:snapToGrid w:val="0"/>
        <w:spacing w:line="560" w:lineRule="exact"/>
        <w:ind w:firstLine="640"/>
        <w:jc w:val="both"/>
        <w:textAlignment w:val="auto"/>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t>下一步，我区将完善“儿童之家”的建设，联合社区居委会组织已退休身体健康的教师组成志愿者队伍为社区儿童提供阅读、体育、艺术等</w:t>
      </w:r>
      <w:bookmarkStart w:id="0" w:name="_GoBack"/>
      <w:bookmarkEnd w:id="0"/>
      <w:r>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t>方面的教育。依托社区妇女之家、儿童之家开展亲子诵读、暑期文化艺术节、家庭才艺比赛等活动。</w:t>
      </w:r>
    </w:p>
    <w:p>
      <w:pPr>
        <w:jc w:val="both"/>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JJMErfeAgAAJAYAAA4AAAAAAAAAAQAgAAAAHwEAAGRycy9lMm9Eb2MueG1sUEsF&#10;BgAAAAAGAAYAWQEAAG8G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ZGMyMjQyMDUwNWQ0M2EyZjgwZmQ2MDVlNjZkZGIifQ=="/>
  </w:docVars>
  <w:rsids>
    <w:rsidRoot w:val="4B273D8F"/>
    <w:rsid w:val="0BB01247"/>
    <w:rsid w:val="10516984"/>
    <w:rsid w:val="130628D8"/>
    <w:rsid w:val="16633A9A"/>
    <w:rsid w:val="20C35D71"/>
    <w:rsid w:val="21C5651C"/>
    <w:rsid w:val="25467305"/>
    <w:rsid w:val="260655CE"/>
    <w:rsid w:val="3F236F87"/>
    <w:rsid w:val="45735D61"/>
    <w:rsid w:val="48040ED3"/>
    <w:rsid w:val="4B273D8F"/>
    <w:rsid w:val="56E47BF1"/>
    <w:rsid w:val="611448E2"/>
    <w:rsid w:val="65D62203"/>
    <w:rsid w:val="6D3E1C0C"/>
    <w:rsid w:val="75856CF0"/>
    <w:rsid w:val="7BBC6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Arial" w:hAnsi="Arial" w:cs="Arial"/>
      <w:sz w:val="24"/>
    </w:rPr>
  </w:style>
  <w:style w:type="paragraph" w:styleId="3">
    <w:name w:val="Normal Indent"/>
    <w:basedOn w:val="1"/>
    <w:qFormat/>
    <w:uiPriority w:val="0"/>
    <w:pPr>
      <w:ind w:firstLine="420" w:firstLineChars="200"/>
    </w:pPr>
  </w:style>
  <w:style w:type="paragraph" w:styleId="4">
    <w:name w:val="Body Text"/>
    <w:basedOn w:val="1"/>
    <w:unhideWhenUsed/>
    <w:qFormat/>
    <w:uiPriority w:val="99"/>
    <w:pPr>
      <w:spacing w:line="320" w:lineRule="exact"/>
      <w:jc w:val="center"/>
    </w:pPr>
    <w:rPr>
      <w:rFonts w:hint="eastAsia" w:ascii="Calibri" w:hAnsi="Calibri" w:eastAsia="Times New Roman"/>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区教育局</Company>
  <Pages>4</Pages>
  <Words>2038</Words>
  <Characters>2065</Characters>
  <Lines>0</Lines>
  <Paragraphs>0</Paragraphs>
  <TotalTime>8</TotalTime>
  <ScaleCrop>false</ScaleCrop>
  <LinksUpToDate>false</LinksUpToDate>
  <CharactersWithSpaces>2066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2022-02-24T09:17:00Z</dcterms:created>
  <dc:creator>jyk</dc:creator>
  <cp:lastModifiedBy>HDJYJ-LCM</cp:lastModifiedBy>
  <dcterms:modified xsi:type="dcterms:W3CDTF">2022-08-26T06:48:56Z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12C4E68CCAFC4930A84397FB050B60EA</vt:lpwstr>
  </property>
  <property fmtid="{D5CDD505-2E9C-101B-9397-08002B2CF9AE}" pid="4" name="commondata">
    <vt:lpwstr>eyJoZGlkIjoiZDU5ZGMyMjQyMDUwNWQ0M2EyZjgwZmQ2MDVlNjZkZGIifQ==</vt:lpwstr>
  </property>
</Properties>
</file>