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1BBF8">
      <w:pPr>
        <w:spacing w:line="534" w:lineRule="exact"/>
        <w:jc w:val="center"/>
        <w:rPr>
          <w:rFonts w:ascii="方正小标宋简体" w:hAnsi="方正小标宋简体" w:eastAsia="方正小标宋简体" w:cs="方正小标宋简体"/>
          <w:sz w:val="44"/>
          <w:szCs w:val="44"/>
          <w:lang w:eastAsia="zh-CN"/>
        </w:rPr>
      </w:pPr>
      <w:bookmarkStart w:id="0" w:name="_GoBack"/>
      <w:bookmarkEnd w:id="0"/>
    </w:p>
    <w:p w14:paraId="3007B1DD">
      <w:pPr>
        <w:spacing w:line="534" w:lineRule="exact"/>
        <w:jc w:val="center"/>
        <w:rPr>
          <w:rFonts w:ascii="方正小标宋简体" w:hAnsi="方正小标宋简体" w:eastAsia="方正小标宋简体" w:cs="方正小标宋简体"/>
          <w:sz w:val="44"/>
          <w:szCs w:val="44"/>
          <w:lang w:eastAsia="zh-CN"/>
        </w:rPr>
      </w:pPr>
    </w:p>
    <w:p w14:paraId="3B30B91D">
      <w:pPr>
        <w:spacing w:line="534" w:lineRule="exact"/>
        <w:jc w:val="center"/>
        <w:rPr>
          <w:rFonts w:ascii="方正小标宋简体" w:hAnsi="方正小标宋简体" w:eastAsia="方正小标宋简体" w:cs="方正小标宋简体"/>
          <w:sz w:val="44"/>
          <w:szCs w:val="44"/>
          <w:lang w:eastAsia="zh-CN"/>
        </w:rPr>
      </w:pPr>
    </w:p>
    <w:p w14:paraId="799811EE">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关于广州市花都区2024年度第八十九批次</w:t>
      </w:r>
    </w:p>
    <w:p w14:paraId="2A0709DD">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城镇建设用地（花都汽车产业基地赤坭园区赤坭大道北片区规划四路建设工程）</w:t>
      </w:r>
    </w:p>
    <w:p w14:paraId="3C8F21C6">
      <w:pPr>
        <w:spacing w:line="534"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2A148E4B">
      <w:pPr>
        <w:spacing w:before="7"/>
        <w:rPr>
          <w:rFonts w:ascii="Adobe 黑体 Std R" w:hAnsi="Adobe 黑体 Std R" w:eastAsia="Adobe 黑体 Std R" w:cs="Adobe 黑体 Std R"/>
          <w:sz w:val="34"/>
          <w:szCs w:val="34"/>
          <w:lang w:eastAsia="zh-CN"/>
        </w:rPr>
      </w:pPr>
    </w:p>
    <w:p w14:paraId="11E65960">
      <w:pPr>
        <w:pStyle w:val="4"/>
        <w:spacing w:before="0" w:line="560" w:lineRule="exact"/>
        <w:ind w:left="0" w:firstLine="640" w:firstLineChars="200"/>
        <w:jc w:val="both"/>
        <w:rPr>
          <w:rFonts w:ascii="仿宋_GB2312" w:hAnsi="仿宋_GB2312" w:eastAsia="仿宋_GB2312" w:cs="仿宋_GB2312"/>
          <w:spacing w:val="5"/>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赤坭镇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民政府拟征收广州市花都区赤坭镇竹洞蓝珠第二</w:t>
      </w:r>
      <w:r>
        <w:rPr>
          <w:rFonts w:hint="eastAsia" w:eastAsia="仿宋_GB2312"/>
          <w:lang w:eastAsia="zh-CN"/>
        </w:rPr>
        <w:t>经济</w:t>
      </w:r>
      <w:r>
        <w:rPr>
          <w:rFonts w:hint="eastAsia" w:ascii="仿宋_GB2312" w:hAnsi="仿宋_GB2312" w:eastAsia="仿宋_GB2312" w:cs="仿宋_GB2312"/>
          <w:spacing w:val="5"/>
          <w:lang w:eastAsia="zh-CN"/>
        </w:rPr>
        <w:t>合作社、第四经济合作社（共有）、竹洞蓝珠第四经济合作社，</w:t>
      </w:r>
      <w:r>
        <w:rPr>
          <w:rFonts w:hint="eastAsia" w:eastAsia="仿宋_GB2312"/>
          <w:lang w:eastAsia="zh-CN"/>
        </w:rPr>
        <w:t>赤坭第五经济合作社、第六经济合作社（共有），黄沙塘第一经济合作社、第三经济合作社、第五经济合作社、第六经济合作社和黄沙塘经济联合社</w:t>
      </w:r>
      <w:r>
        <w:rPr>
          <w:rFonts w:hint="eastAsia" w:ascii="仿宋_GB2312" w:hAnsi="仿宋_GB2312" w:eastAsia="仿宋_GB2312" w:cs="仿宋_GB2312"/>
          <w:spacing w:val="5"/>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eastAsia="zh-CN"/>
        </w:rPr>
        <w:t>4.8988公</w:t>
      </w:r>
      <w:r>
        <w:rPr>
          <w:rFonts w:ascii="Times New Roman" w:hAnsi="Times New Roman" w:eastAsia="仿宋_GB2312" w:cs="Times New Roman"/>
          <w:lang w:eastAsia="zh-CN"/>
        </w:rPr>
        <w:t>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24A2A62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0F3A6EF3">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w:t>
      </w:r>
      <w:r>
        <w:rPr>
          <w:rFonts w:hint="eastAsia" w:ascii="Times New Roman" w:hAnsi="Times New Roman" w:eastAsia="仿宋_GB2312" w:cs="Times New Roman"/>
          <w:sz w:val="32"/>
          <w:szCs w:val="32"/>
          <w:lang w:eastAsia="zh-CN"/>
        </w:rPr>
        <w:t>广州市花都区赤坭镇竹洞蓝珠第二经济合作社、第四经济合作社（共有）、竹洞蓝珠第四经济合作社，赤坭第五经济合作社、第六经济合作社（共有），黄沙塘第一经济合作社、第三经济合作社、第五经济合作社、第六经济合作社和黄沙塘经济联合社</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04B46498">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BE5C6B2">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根据《中华人民共和国土地管理法》第四十五条的规定，本次征收土地目的为由政府组织实施的能源、交通、水利、通信、邮政等基础设施建设需要用地。</w:t>
      </w:r>
    </w:p>
    <w:p w14:paraId="0E96CF55">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2C44E22A">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406D3F8C">
      <w:pPr>
        <w:numPr>
          <w:ilvl w:val="0"/>
          <w:numId w:val="1"/>
        </w:numPr>
        <w:spacing w:line="560" w:lineRule="exact"/>
        <w:ind w:firstLine="64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赤坭镇竹洞蓝珠第二经济合作社、第四经济合作社（共有）和竹洞蓝珠第四经济合作社属下的集体所有土地0.3713公顷（5.5695亩），均为农用地，不含耕地；不涉及建设用地和未利用地。</w:t>
      </w:r>
    </w:p>
    <w:p w14:paraId="6BC0F54C">
      <w:pPr>
        <w:numPr>
          <w:ilvl w:val="0"/>
          <w:numId w:val="1"/>
        </w:numPr>
        <w:spacing w:line="560" w:lineRule="exact"/>
        <w:ind w:firstLine="64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赤坭镇赤坭第五经济合作社、第六经济合作社（共有）属下的集体所有土地1.5510公顷（23.2650亩），均为农用地，不含耕地；不涉及建设用地和未利用地。</w:t>
      </w:r>
    </w:p>
    <w:p w14:paraId="4C8DA6DC">
      <w:pPr>
        <w:numPr>
          <w:ilvl w:val="0"/>
          <w:numId w:val="1"/>
        </w:numPr>
        <w:spacing w:line="560" w:lineRule="exact"/>
        <w:ind w:firstLine="640"/>
        <w:jc w:val="both"/>
        <w:rPr>
          <w:rFonts w:eastAsia="仿宋_GB2312"/>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eastAsia="zh-CN"/>
        </w:rPr>
        <w:t>赤坭镇黄沙塘第一</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、第三经济合作社、第五经济合作社、第六</w:t>
      </w:r>
      <w:r>
        <w:rPr>
          <w:rFonts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eastAsia="zh-CN"/>
        </w:rPr>
        <w:t>、黄沙塘经济联合社</w:t>
      </w:r>
      <w:r>
        <w:rPr>
          <w:rFonts w:hint="eastAsia" w:eastAsia="仿宋_GB2312"/>
          <w:sz w:val="32"/>
          <w:szCs w:val="32"/>
          <w:lang w:eastAsia="zh-CN"/>
        </w:rPr>
        <w:t>属下的集体所有土地</w:t>
      </w:r>
      <w:r>
        <w:rPr>
          <w:rFonts w:hint="eastAsia" w:ascii="Times New Roman" w:hAnsi="Times New Roman" w:eastAsia="仿宋_GB2312" w:cs="Times New Roman"/>
          <w:sz w:val="32"/>
          <w:szCs w:val="32"/>
          <w:lang w:eastAsia="zh-CN"/>
        </w:rPr>
        <w:t>2.9765</w:t>
      </w:r>
      <w:r>
        <w:rPr>
          <w:rFonts w:hint="eastAsia" w:eastAsia="仿宋_GB2312"/>
          <w:sz w:val="32"/>
          <w:szCs w:val="32"/>
          <w:lang w:eastAsia="zh-CN"/>
        </w:rPr>
        <w:t>公顷（</w:t>
      </w:r>
      <w:r>
        <w:rPr>
          <w:rFonts w:hint="eastAsia" w:ascii="Times New Roman" w:hAnsi="Times New Roman" w:eastAsia="仿宋_GB2312" w:cs="Times New Roman"/>
          <w:sz w:val="32"/>
          <w:szCs w:val="32"/>
          <w:lang w:eastAsia="zh-CN"/>
        </w:rPr>
        <w:t>44.6475</w:t>
      </w:r>
      <w:r>
        <w:rPr>
          <w:rFonts w:hint="eastAsia" w:eastAsia="仿宋_GB2312"/>
          <w:sz w:val="32"/>
          <w:szCs w:val="32"/>
          <w:lang w:eastAsia="zh-CN"/>
        </w:rPr>
        <w:t>亩），均为农用地</w:t>
      </w:r>
      <w:r>
        <w:rPr>
          <w:rFonts w:hint="eastAsia" w:ascii="Times New Roman" w:hAnsi="Times New Roman" w:eastAsia="仿宋_GB2312" w:cs="Times New Roman"/>
          <w:sz w:val="32"/>
          <w:szCs w:val="32"/>
          <w:lang w:eastAsia="zh-CN"/>
        </w:rPr>
        <w:t>，不含耕地</w:t>
      </w:r>
      <w:r>
        <w:rPr>
          <w:rFonts w:hint="eastAsia" w:eastAsia="仿宋_GB2312"/>
          <w:sz w:val="32"/>
          <w:szCs w:val="32"/>
          <w:lang w:eastAsia="zh-CN"/>
        </w:rPr>
        <w:t>；不涉及建设用地</w:t>
      </w:r>
      <w:r>
        <w:rPr>
          <w:rFonts w:hint="eastAsia" w:ascii="Times New Roman" w:hAnsi="Times New Roman" w:eastAsia="仿宋_GB2312" w:cs="Times New Roman"/>
          <w:sz w:val="32"/>
          <w:szCs w:val="32"/>
          <w:lang w:eastAsia="zh-CN"/>
        </w:rPr>
        <w:t>和</w:t>
      </w:r>
      <w:r>
        <w:rPr>
          <w:rFonts w:hint="eastAsia" w:eastAsia="仿宋_GB2312"/>
          <w:sz w:val="32"/>
          <w:szCs w:val="32"/>
          <w:lang w:eastAsia="zh-CN"/>
        </w:rPr>
        <w:t>未利用地。</w:t>
      </w:r>
    </w:p>
    <w:p w14:paraId="3DD1775F">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3EE8751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楷体" w:hAnsi="楷体" w:eastAsia="楷体" w:cs="楷体"/>
          <w:sz w:val="32"/>
          <w:szCs w:val="32"/>
          <w:lang w:eastAsia="zh-CN"/>
        </w:rPr>
        <w:t>（一）土地补偿费和安置补助费标准</w:t>
      </w:r>
    </w:p>
    <w:p w14:paraId="6B48E75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《中华人民共和国土地管理法》《广东省土地管理条例》等规定，并结合</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土地补偿标准为82.5万元/公顷，安置补助标准为82.5万元/公顷。</w:t>
      </w:r>
    </w:p>
    <w:p w14:paraId="5F02B551">
      <w:pPr>
        <w:spacing w:line="560" w:lineRule="exact"/>
        <w:ind w:firstLine="640" w:firstLineChars="200"/>
        <w:jc w:val="both"/>
        <w:rPr>
          <w:rFonts w:ascii="楷体" w:hAnsi="楷体" w:eastAsia="楷体" w:cs="楷体"/>
          <w:sz w:val="32"/>
          <w:szCs w:val="32"/>
          <w:lang w:eastAsia="zh-CN"/>
        </w:rPr>
      </w:pPr>
      <w:r>
        <w:rPr>
          <w:rFonts w:ascii="楷体" w:hAnsi="楷体" w:eastAsia="楷体" w:cs="楷体"/>
          <w:sz w:val="32"/>
          <w:szCs w:val="32"/>
          <w:lang w:eastAsia="zh-CN"/>
        </w:rPr>
        <w:t>（二）农村村民住宅补偿</w:t>
      </w:r>
    </w:p>
    <w:p w14:paraId="249A76CB">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bCs/>
          <w:kern w:val="2"/>
          <w:sz w:val="32"/>
          <w:szCs w:val="32"/>
          <w:lang w:eastAsia="zh-CN"/>
        </w:rPr>
        <w:t>本次征地不涉及农村村民住宅补偿。</w:t>
      </w:r>
    </w:p>
    <w:p w14:paraId="0883AECC">
      <w:pPr>
        <w:spacing w:line="560" w:lineRule="exact"/>
        <w:ind w:firstLine="640" w:firstLineChars="200"/>
        <w:jc w:val="both"/>
        <w:rPr>
          <w:rFonts w:ascii="Times New Roman" w:hAnsi="Times New Roman" w:eastAsia="仿宋_GB2312" w:cs="Times New Roman"/>
          <w:sz w:val="32"/>
          <w:szCs w:val="32"/>
          <w:lang w:eastAsia="zh-CN"/>
        </w:rPr>
      </w:pPr>
      <w:r>
        <w:rPr>
          <w:rFonts w:ascii="楷体" w:hAnsi="楷体" w:eastAsia="楷体" w:cs="楷体"/>
          <w:sz w:val="32"/>
          <w:szCs w:val="32"/>
          <w:lang w:eastAsia="zh-CN"/>
        </w:rPr>
        <w:t>（</w:t>
      </w:r>
      <w:r>
        <w:rPr>
          <w:rFonts w:hint="eastAsia" w:ascii="楷体" w:hAnsi="楷体" w:eastAsia="楷体" w:cs="楷体"/>
          <w:sz w:val="32"/>
          <w:szCs w:val="32"/>
          <w:lang w:eastAsia="zh-CN"/>
        </w:rPr>
        <w:t>三</w:t>
      </w:r>
      <w:r>
        <w:rPr>
          <w:rFonts w:ascii="楷体" w:hAnsi="楷体" w:eastAsia="楷体" w:cs="楷体"/>
          <w:sz w:val="32"/>
          <w:szCs w:val="32"/>
          <w:lang w:eastAsia="zh-CN"/>
        </w:rPr>
        <w:t>）</w:t>
      </w:r>
      <w:r>
        <w:rPr>
          <w:rFonts w:hint="eastAsia" w:ascii="楷体" w:hAnsi="楷体" w:eastAsia="楷体" w:cs="楷体"/>
          <w:sz w:val="32"/>
          <w:szCs w:val="32"/>
          <w:lang w:eastAsia="zh-CN"/>
        </w:rPr>
        <w:t>青苗及其他地上附着物补偿</w:t>
      </w:r>
    </w:p>
    <w:p w14:paraId="02210B3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青苗及其他地上附着物补偿</w:t>
      </w: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r>
        <w:rPr>
          <w:rFonts w:ascii="Times New Roman" w:hAnsi="Times New Roman" w:eastAsia="仿宋_GB2312" w:cs="Times New Roman"/>
          <w:sz w:val="32"/>
          <w:szCs w:val="32"/>
          <w:lang w:eastAsia="zh-CN"/>
        </w:rPr>
        <w:t>。</w:t>
      </w:r>
    </w:p>
    <w:p w14:paraId="28E3EBEC">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704DD7A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6A084D7E">
      <w:pPr>
        <w:pStyle w:val="4"/>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65AC64E3">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lang w:eastAsia="zh-CN"/>
        </w:rPr>
        <w:t>费用已包含在土地补偿</w:t>
      </w:r>
      <w:r>
        <w:rPr>
          <w:rFonts w:hint="eastAsia" w:ascii="Times New Roman" w:hAnsi="Times New Roman" w:eastAsia="仿宋_GB2312" w:cs="Times New Roman"/>
          <w:sz w:val="32"/>
          <w:szCs w:val="32"/>
          <w:lang w:eastAsia="zh-CN"/>
        </w:rPr>
        <w:t>费与</w:t>
      </w:r>
      <w:r>
        <w:rPr>
          <w:rFonts w:ascii="Times New Roman" w:hAnsi="Times New Roman" w:eastAsia="仿宋_GB2312" w:cs="Times New Roman"/>
          <w:sz w:val="32"/>
          <w:szCs w:val="32"/>
          <w:lang w:eastAsia="zh-CN"/>
        </w:rPr>
        <w:t>安置</w:t>
      </w:r>
      <w:r>
        <w:rPr>
          <w:rFonts w:hint="eastAsia" w:ascii="Times New Roman" w:hAnsi="Times New Roman" w:eastAsia="仿宋_GB2312" w:cs="Times New Roman"/>
          <w:sz w:val="32"/>
          <w:szCs w:val="32"/>
          <w:lang w:eastAsia="zh-CN"/>
        </w:rPr>
        <w:t>补助</w:t>
      </w:r>
      <w:r>
        <w:rPr>
          <w:rFonts w:ascii="Times New Roman" w:hAnsi="Times New Roman" w:eastAsia="仿宋_GB2312" w:cs="Times New Roman"/>
          <w:sz w:val="32"/>
          <w:szCs w:val="32"/>
          <w:lang w:eastAsia="zh-CN"/>
        </w:rPr>
        <w:t>费中。</w:t>
      </w:r>
    </w:p>
    <w:p w14:paraId="3A756732">
      <w:pPr>
        <w:spacing w:line="560" w:lineRule="exact"/>
        <w:ind w:firstLine="640" w:firstLineChars="200"/>
        <w:jc w:val="both"/>
        <w:rPr>
          <w:rFonts w:ascii="Times New Roman" w:hAnsi="Times New Roman" w:eastAsia="仿宋_GB2312" w:cs="Times New Roman"/>
          <w:color w:val="FF0000"/>
          <w:sz w:val="32"/>
          <w:szCs w:val="32"/>
          <w:highlight w:val="yellow"/>
          <w:lang w:eastAsia="zh-CN"/>
        </w:rPr>
      </w:pPr>
      <w:r>
        <w:rPr>
          <w:rFonts w:hint="eastAsia" w:ascii="仿宋_GB2312" w:hAnsi="仿宋_GB2312" w:eastAsia="仿宋_GB2312" w:cs="仿宋_GB2312"/>
          <w:sz w:val="32"/>
          <w:szCs w:val="32"/>
          <w:lang w:eastAsia="zh-CN"/>
        </w:rPr>
        <w:t>（二）留用地安置。</w:t>
      </w:r>
      <w:r>
        <w:rPr>
          <w:rFonts w:hint="eastAsia" w:ascii="Times New Roman" w:hAnsi="Times New Roman" w:eastAsia="仿宋_GB2312" w:cs="Times New Roman"/>
          <w:sz w:val="32"/>
          <w:szCs w:val="32"/>
          <w:lang w:eastAsia="zh-CN"/>
        </w:rPr>
        <w:t>根据</w:t>
      </w:r>
      <w:r>
        <w:rPr>
          <w:rFonts w:ascii="Times New Roman" w:hAnsi="Times New Roman" w:eastAsia="仿宋_GB2312" w:cs="Times New Roman"/>
          <w:sz w:val="32"/>
          <w:szCs w:val="32"/>
          <w:lang w:eastAsia="zh-CN"/>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lang w:eastAsia="zh-CN"/>
        </w:rPr>
        <w:t>规定，按实际征收土地面积的10%安排留用地</w:t>
      </w:r>
      <w:r>
        <w:rPr>
          <w:rFonts w:hint="eastAsia" w:ascii="Times New Roman" w:hAnsi="Times New Roman" w:eastAsia="仿宋_GB2312" w:cs="Times New Roman"/>
          <w:sz w:val="32"/>
          <w:szCs w:val="32"/>
          <w:lang w:eastAsia="zh-CN"/>
        </w:rPr>
        <w:t>。其中黄沙塘村按照8</w:t>
      </w:r>
      <w:r>
        <w:rPr>
          <w:rFonts w:ascii="Times New Roman" w:hAnsi="Times New Roman" w:eastAsia="仿宋_GB2312" w:cs="Times New Roman"/>
          <w:sz w:val="32"/>
          <w:szCs w:val="32"/>
          <w:lang w:eastAsia="zh-CN"/>
        </w:rPr>
        <w:t>7.3333</w:t>
      </w:r>
      <w:r>
        <w:rPr>
          <w:rFonts w:hint="eastAsia" w:ascii="Times New Roman" w:hAnsi="Times New Roman" w:eastAsia="仿宋_GB2312" w:cs="Times New Roman"/>
          <w:sz w:val="32"/>
          <w:szCs w:val="32"/>
          <w:lang w:eastAsia="zh-CN"/>
        </w:rPr>
        <w:t>万元/亩折算货币补偿方式安排留用地，竹洞村、赤坭村按照实物留地方式安排留用地</w:t>
      </w:r>
      <w:r>
        <w:rPr>
          <w:rFonts w:ascii="Times New Roman" w:hAnsi="Times New Roman" w:eastAsia="仿宋_GB2312" w:cs="Times New Roman"/>
          <w:sz w:val="32"/>
          <w:szCs w:val="32"/>
          <w:lang w:eastAsia="zh-CN"/>
        </w:rPr>
        <w:t>。</w:t>
      </w:r>
    </w:p>
    <w:p w14:paraId="6BD5DC7A">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（三）社会保障费用。该项目征收赤坭镇竹洞村、赤坭村、黄沙塘村土地面积共</w:t>
      </w:r>
      <w:r>
        <w:rPr>
          <w:rFonts w:hint="eastAsia" w:ascii="Times New Roman" w:hAnsi="Times New Roman" w:eastAsia="仿宋_GB2312" w:cs="Times New Roman"/>
          <w:bCs/>
          <w:kern w:val="2"/>
          <w:sz w:val="32"/>
          <w:szCs w:val="32"/>
          <w:lang w:eastAsia="zh-CN" w:bidi="ar"/>
        </w:rPr>
        <w:t>73.4820</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lang w:eastAsia="zh-CN" w:bidi="ar"/>
        </w:rPr>
        <w:t>157.29</w:t>
      </w:r>
      <w:r>
        <w:rPr>
          <w:rFonts w:hint="eastAsia" w:ascii="仿宋_GB2312" w:hAnsi="仿宋_GB2312" w:eastAsia="仿宋_GB2312" w:cs="仿宋_GB2312"/>
          <w:kern w:val="2"/>
          <w:sz w:val="32"/>
          <w:szCs w:val="32"/>
          <w:lang w:eastAsia="zh-CN" w:bidi="ar"/>
        </w:rPr>
        <w:t>万元，预存入区“收缴被征地农民养老保障资金过渡户”，专款用于被征地农民养老保障。</w:t>
      </w:r>
    </w:p>
    <w:p w14:paraId="5707A904">
      <w:pPr>
        <w:pStyle w:val="4"/>
        <w:spacing w:before="0" w:line="437" w:lineRule="exact"/>
        <w:ind w:left="0" w:right="260"/>
        <w:jc w:val="right"/>
        <w:rPr>
          <w:rFonts w:ascii="仿宋_GB2312" w:hAnsi="仿宋_GB2312" w:eastAsia="仿宋_GB2312" w:cs="仿宋_GB2312"/>
          <w:lang w:eastAsia="zh-CN"/>
        </w:rPr>
      </w:pPr>
    </w:p>
    <w:p w14:paraId="5EA75F70">
      <w:pPr>
        <w:pStyle w:val="4"/>
        <w:spacing w:before="0" w:line="437" w:lineRule="exact"/>
        <w:ind w:left="0" w:right="260"/>
        <w:jc w:val="right"/>
        <w:rPr>
          <w:rFonts w:ascii="仿宋_GB2312" w:hAnsi="仿宋_GB2312" w:eastAsia="仿宋_GB2312" w:cs="仿宋_GB2312"/>
          <w:lang w:eastAsia="zh-CN"/>
        </w:rPr>
      </w:pPr>
    </w:p>
    <w:p w14:paraId="2A09ECD5">
      <w:pPr>
        <w:pStyle w:val="4"/>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0512D9D2">
      <w:pPr>
        <w:pStyle w:val="4"/>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4</w:t>
      </w:r>
      <w:r>
        <w:rPr>
          <w:rFonts w:ascii="Times New Roman" w:hAnsi="Times New Roman" w:eastAsia="仿宋_GB2312" w:cs="Times New Roman"/>
        </w:rPr>
        <w:t>月</w:t>
      </w:r>
      <w:r>
        <w:rPr>
          <w:rFonts w:hint="eastAsia" w:ascii="Times New Roman" w:hAnsi="Times New Roman" w:eastAsia="仿宋_GB2312" w:cs="Times New Roman"/>
          <w:lang w:val="en-US" w:eastAsia="zh-CN"/>
        </w:rPr>
        <w:t>15</w:t>
      </w:r>
      <w:r>
        <w:rPr>
          <w:rFonts w:ascii="Times New Roman" w:hAnsi="Times New Roman" w:eastAsia="仿宋_GB2312" w:cs="Times New Roman"/>
        </w:rPr>
        <w:t>日</w:t>
      </w:r>
    </w:p>
    <w:sectPr>
      <w:footerReference r:id="rId3" w:type="default"/>
      <w:pgSz w:w="11910" w:h="16840"/>
      <w:pgMar w:top="1440" w:right="1800" w:bottom="1440" w:left="180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83E6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BCA5FE7">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D1692A"/>
    <w:multiLevelType w:val="singleLevel"/>
    <w:tmpl w:val="38D1692A"/>
    <w:lvl w:ilvl="0" w:tentative="0">
      <w:start w:val="1"/>
      <w:numFmt w:val="chineseCounting"/>
      <w:suff w:val="nothing"/>
      <w:lvlText w:val="（%1）"/>
      <w:lvlJc w:val="left"/>
      <w:pPr>
        <w:ind w:left="20"/>
      </w:pPr>
      <w:rPr>
        <w:rFonts w:hint="eastAsia"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F869B9"/>
    <w:rsid w:val="00012A33"/>
    <w:rsid w:val="00023D1D"/>
    <w:rsid w:val="00087FC9"/>
    <w:rsid w:val="000C21D6"/>
    <w:rsid w:val="000E3907"/>
    <w:rsid w:val="0015748F"/>
    <w:rsid w:val="001A0BB8"/>
    <w:rsid w:val="001A1F6A"/>
    <w:rsid w:val="0020273F"/>
    <w:rsid w:val="002A343D"/>
    <w:rsid w:val="002F2545"/>
    <w:rsid w:val="00345770"/>
    <w:rsid w:val="00371629"/>
    <w:rsid w:val="0037606F"/>
    <w:rsid w:val="003978B9"/>
    <w:rsid w:val="00425821"/>
    <w:rsid w:val="004E23CE"/>
    <w:rsid w:val="004F014A"/>
    <w:rsid w:val="004F4AB3"/>
    <w:rsid w:val="00501389"/>
    <w:rsid w:val="00510062"/>
    <w:rsid w:val="00583581"/>
    <w:rsid w:val="005A4BAB"/>
    <w:rsid w:val="00606DD4"/>
    <w:rsid w:val="006446B9"/>
    <w:rsid w:val="007017B3"/>
    <w:rsid w:val="007905B8"/>
    <w:rsid w:val="00812E7C"/>
    <w:rsid w:val="008620FD"/>
    <w:rsid w:val="00890462"/>
    <w:rsid w:val="008E0F0A"/>
    <w:rsid w:val="00910F80"/>
    <w:rsid w:val="00916110"/>
    <w:rsid w:val="009462E9"/>
    <w:rsid w:val="00953156"/>
    <w:rsid w:val="009C2DE4"/>
    <w:rsid w:val="00A10D2F"/>
    <w:rsid w:val="00A60847"/>
    <w:rsid w:val="00AE0CC4"/>
    <w:rsid w:val="00AF5BE0"/>
    <w:rsid w:val="00B15EE1"/>
    <w:rsid w:val="00B749E6"/>
    <w:rsid w:val="00B95BB3"/>
    <w:rsid w:val="00BF52D8"/>
    <w:rsid w:val="00C07288"/>
    <w:rsid w:val="00C525F8"/>
    <w:rsid w:val="00C946D4"/>
    <w:rsid w:val="00E56C97"/>
    <w:rsid w:val="00EA0DDD"/>
    <w:rsid w:val="00EA0F98"/>
    <w:rsid w:val="00EB0E65"/>
    <w:rsid w:val="00F04619"/>
    <w:rsid w:val="00F04F89"/>
    <w:rsid w:val="00F869B9"/>
    <w:rsid w:val="01782BB7"/>
    <w:rsid w:val="022A33E1"/>
    <w:rsid w:val="02B47861"/>
    <w:rsid w:val="038E7DC7"/>
    <w:rsid w:val="04654DC4"/>
    <w:rsid w:val="066D232E"/>
    <w:rsid w:val="0822151D"/>
    <w:rsid w:val="08682950"/>
    <w:rsid w:val="08D87341"/>
    <w:rsid w:val="09780AAB"/>
    <w:rsid w:val="09C74E50"/>
    <w:rsid w:val="0AAF45C2"/>
    <w:rsid w:val="0BC12118"/>
    <w:rsid w:val="0BD67B18"/>
    <w:rsid w:val="0C890300"/>
    <w:rsid w:val="0C8B0FF0"/>
    <w:rsid w:val="0F064AD5"/>
    <w:rsid w:val="1133035D"/>
    <w:rsid w:val="11CE11EC"/>
    <w:rsid w:val="130143BE"/>
    <w:rsid w:val="161B7A15"/>
    <w:rsid w:val="162B00EE"/>
    <w:rsid w:val="16D8728E"/>
    <w:rsid w:val="16E50DE0"/>
    <w:rsid w:val="19977D8A"/>
    <w:rsid w:val="19C85B71"/>
    <w:rsid w:val="1C235EFF"/>
    <w:rsid w:val="1D350BA9"/>
    <w:rsid w:val="1E034DBD"/>
    <w:rsid w:val="1E0F4FE8"/>
    <w:rsid w:val="1EEA2AA6"/>
    <w:rsid w:val="219E39B8"/>
    <w:rsid w:val="22B81E40"/>
    <w:rsid w:val="24510545"/>
    <w:rsid w:val="249657CF"/>
    <w:rsid w:val="249E3323"/>
    <w:rsid w:val="25477C36"/>
    <w:rsid w:val="264D6EA8"/>
    <w:rsid w:val="288A0F78"/>
    <w:rsid w:val="29C73F17"/>
    <w:rsid w:val="2A2850B2"/>
    <w:rsid w:val="2BE439BC"/>
    <w:rsid w:val="2BE83DDD"/>
    <w:rsid w:val="2D2059DC"/>
    <w:rsid w:val="2F2F33BB"/>
    <w:rsid w:val="3071123E"/>
    <w:rsid w:val="31035DBC"/>
    <w:rsid w:val="31BB5C7A"/>
    <w:rsid w:val="32F51B26"/>
    <w:rsid w:val="33085EB0"/>
    <w:rsid w:val="34394804"/>
    <w:rsid w:val="34CC172C"/>
    <w:rsid w:val="353A6EDA"/>
    <w:rsid w:val="372D5A13"/>
    <w:rsid w:val="38600159"/>
    <w:rsid w:val="39A42B0C"/>
    <w:rsid w:val="3A1C0A7A"/>
    <w:rsid w:val="3ACB3C77"/>
    <w:rsid w:val="3B8E0546"/>
    <w:rsid w:val="3BAE7806"/>
    <w:rsid w:val="3CBA3269"/>
    <w:rsid w:val="3D4536F5"/>
    <w:rsid w:val="3DAB569E"/>
    <w:rsid w:val="44A61FBA"/>
    <w:rsid w:val="46753A21"/>
    <w:rsid w:val="468726E8"/>
    <w:rsid w:val="47EA5951"/>
    <w:rsid w:val="4ACB0C56"/>
    <w:rsid w:val="4D4F0EAF"/>
    <w:rsid w:val="4F536F5C"/>
    <w:rsid w:val="4FDC68BF"/>
    <w:rsid w:val="505F6CEB"/>
    <w:rsid w:val="50715987"/>
    <w:rsid w:val="53D675C5"/>
    <w:rsid w:val="54382FF3"/>
    <w:rsid w:val="54BD20F1"/>
    <w:rsid w:val="54E02594"/>
    <w:rsid w:val="54EF5450"/>
    <w:rsid w:val="56FA52CA"/>
    <w:rsid w:val="5780579E"/>
    <w:rsid w:val="58502C4E"/>
    <w:rsid w:val="593068F9"/>
    <w:rsid w:val="5AA00541"/>
    <w:rsid w:val="5B90458F"/>
    <w:rsid w:val="5BC01C96"/>
    <w:rsid w:val="5C3451BA"/>
    <w:rsid w:val="5D0866EA"/>
    <w:rsid w:val="5D132772"/>
    <w:rsid w:val="5D3C0503"/>
    <w:rsid w:val="5EF369C2"/>
    <w:rsid w:val="5F7D66C9"/>
    <w:rsid w:val="62844552"/>
    <w:rsid w:val="63714235"/>
    <w:rsid w:val="646C2DD2"/>
    <w:rsid w:val="6488303F"/>
    <w:rsid w:val="64ED2421"/>
    <w:rsid w:val="65C10F06"/>
    <w:rsid w:val="671A7149"/>
    <w:rsid w:val="682968DB"/>
    <w:rsid w:val="682D49C8"/>
    <w:rsid w:val="69342B07"/>
    <w:rsid w:val="69E06A0A"/>
    <w:rsid w:val="6A4E2318"/>
    <w:rsid w:val="6B015D7A"/>
    <w:rsid w:val="6DB30687"/>
    <w:rsid w:val="6F8C3791"/>
    <w:rsid w:val="708E5910"/>
    <w:rsid w:val="70E91BB0"/>
    <w:rsid w:val="71C65C86"/>
    <w:rsid w:val="7473278D"/>
    <w:rsid w:val="747B57C1"/>
    <w:rsid w:val="75B44CF4"/>
    <w:rsid w:val="768B3F84"/>
    <w:rsid w:val="76910A96"/>
    <w:rsid w:val="786971C9"/>
    <w:rsid w:val="78EA6370"/>
    <w:rsid w:val="7A314473"/>
    <w:rsid w:val="7A3D7256"/>
    <w:rsid w:val="7A674FA1"/>
    <w:rsid w:val="7AFC2219"/>
    <w:rsid w:val="7D5135A2"/>
    <w:rsid w:val="7E1D286D"/>
    <w:rsid w:val="7E391B3F"/>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Balloon Text"/>
    <w:basedOn w:val="1"/>
    <w:link w:val="13"/>
    <w:qFormat/>
    <w:uiPriority w:val="0"/>
    <w:rPr>
      <w:sz w:val="18"/>
      <w:szCs w:val="18"/>
    </w:rPr>
  </w:style>
  <w:style w:type="paragraph" w:styleId="6">
    <w:name w:val="footer"/>
    <w:basedOn w:val="1"/>
    <w:link w:val="14"/>
    <w:qFormat/>
    <w:uiPriority w:val="0"/>
    <w:pPr>
      <w:tabs>
        <w:tab w:val="center" w:pos="4153"/>
        <w:tab w:val="right" w:pos="8306"/>
      </w:tabs>
      <w:snapToGrid w:val="0"/>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字符"/>
    <w:basedOn w:val="9"/>
    <w:link w:val="5"/>
    <w:qFormat/>
    <w:uiPriority w:val="0"/>
    <w:rPr>
      <w:rFonts w:asciiTheme="minorHAnsi" w:hAnsiTheme="minorHAnsi" w:eastAsiaTheme="minorHAnsi" w:cstheme="minorBidi"/>
      <w:sz w:val="18"/>
      <w:szCs w:val="18"/>
      <w:lang w:eastAsia="en-US"/>
    </w:rPr>
  </w:style>
  <w:style w:type="character" w:customStyle="1" w:styleId="14">
    <w:name w:val="页脚 字符"/>
    <w:basedOn w:val="9"/>
    <w:link w:val="6"/>
    <w:qFormat/>
    <w:uiPriority w:val="0"/>
    <w:rPr>
      <w:rFonts w:asciiTheme="minorHAnsi" w:hAnsiTheme="minorHAnsi" w:eastAsiaTheme="minorHAnsi" w:cstheme="minorBidi"/>
      <w:sz w:val="18"/>
      <w:szCs w:val="18"/>
      <w:lang w:eastAsia="en-US"/>
    </w:rPr>
  </w:style>
  <w:style w:type="paragraph" w:customStyle="1" w:styleId="15">
    <w:name w:val="修订1"/>
    <w:hidden/>
    <w:unhideWhenUsed/>
    <w:qFormat/>
    <w:uiPriority w:val="99"/>
    <w:rPr>
      <w:rFonts w:asciiTheme="minorHAnsi" w:hAnsiTheme="minorHAnsi" w:eastAsiaTheme="minorHAnsi" w:cstheme="minorBidi"/>
      <w:sz w:val="22"/>
      <w:szCs w:val="22"/>
      <w:lang w:val="en-US" w:eastAsia="en-US" w:bidi="ar-SA"/>
    </w:rPr>
  </w:style>
  <w:style w:type="paragraph" w:customStyle="1" w:styleId="16">
    <w:name w:val="修订2"/>
    <w:hidden/>
    <w:unhideWhenUsed/>
    <w:qFormat/>
    <w:uiPriority w:val="99"/>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305</Words>
  <Characters>1742</Characters>
  <Lines>14</Lines>
  <Paragraphs>4</Paragraphs>
  <TotalTime>0</TotalTime>
  <ScaleCrop>false</ScaleCrop>
  <LinksUpToDate>false</LinksUpToDate>
  <CharactersWithSpaces>2043</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2024-08-06T02:50:00Z</cp:lastPrinted>
  <dcterms:modified xsi:type="dcterms:W3CDTF">2025-04-21T02:46:02Z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