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jc w:val="left"/>
        <w:rPr>
          <w:rFonts w:hint="eastAsia"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42697EAF">
      <w:pPr>
        <w:spacing w:before="0" w:line="560" w:lineRule="exact"/>
        <w:ind w:left="0" w:right="0" w:firstLine="0"/>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关于广州市花都区2025年度第十</w:t>
      </w:r>
      <w:r>
        <w:rPr>
          <w:rFonts w:hint="eastAsia" w:ascii="Times New Roman" w:hAnsi="Times New Roman" w:eastAsia="方正小标宋简体" w:cs="Times New Roman"/>
          <w:kern w:val="2"/>
          <w:sz w:val="44"/>
          <w:szCs w:val="44"/>
          <w:lang w:val="en-US" w:eastAsia="zh-CN"/>
        </w:rPr>
        <w:t>五</w:t>
      </w:r>
      <w:r>
        <w:rPr>
          <w:rFonts w:hint="eastAsia" w:ascii="Times New Roman" w:hAnsi="Times New Roman" w:eastAsia="方正小标宋简体" w:cs="Times New Roman"/>
          <w:kern w:val="2"/>
          <w:sz w:val="44"/>
          <w:szCs w:val="44"/>
          <w:lang w:eastAsia="zh-CN"/>
        </w:rPr>
        <w:t>批次城镇建设用地（花都区炭步镇鸭湖安置区规划</w:t>
      </w:r>
    </w:p>
    <w:p w14:paraId="34B1302B">
      <w:pPr>
        <w:spacing w:before="0" w:line="560" w:lineRule="exact"/>
        <w:ind w:left="0" w:right="0" w:firstLine="0"/>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val="en-US" w:eastAsia="zh-CN"/>
        </w:rPr>
        <w:t>二</w:t>
      </w:r>
      <w:r>
        <w:rPr>
          <w:rFonts w:hint="eastAsia" w:ascii="Times New Roman" w:hAnsi="Times New Roman" w:eastAsia="方正小标宋简体" w:cs="Times New Roman"/>
          <w:kern w:val="2"/>
          <w:sz w:val="44"/>
          <w:szCs w:val="44"/>
          <w:lang w:eastAsia="zh-CN"/>
        </w:rPr>
        <w:t>路建设工程）的征地补偿安置方案</w:t>
      </w:r>
    </w:p>
    <w:p w14:paraId="1675CCD4">
      <w:pPr>
        <w:spacing w:before="7" w:line="240" w:lineRule="auto"/>
        <w:rPr>
          <w:rFonts w:ascii="Adobe 黑体 Std R" w:hAnsi="Adobe 黑体 Std R" w:eastAsia="Adobe 黑体 Std R" w:cs="Adobe 黑体 Std R"/>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为实施广州市</w:t>
      </w:r>
      <w:r>
        <w:rPr>
          <w:rFonts w:hint="eastAsia" w:ascii="Times New Roman" w:hAnsi="Times New Roman" w:eastAsia="仿宋_GB2312" w:cs="仿宋_GB2312"/>
          <w:spacing w:val="-20"/>
          <w:sz w:val="32"/>
          <w:szCs w:val="32"/>
          <w:lang w:eastAsia="zh-CN"/>
        </w:rPr>
        <w:t>花都</w:t>
      </w:r>
      <w:r>
        <w:rPr>
          <w:rFonts w:hint="eastAsia" w:ascii="Times New Roman" w:hAnsi="Times New Roman" w:eastAsia="仿宋_GB2312" w:cs="仿宋_GB2312"/>
          <w:sz w:val="32"/>
          <w:szCs w:val="32"/>
        </w:rPr>
        <w:t>区</w:t>
      </w:r>
      <w:r>
        <w:rPr>
          <w:rFonts w:hint="eastAsia" w:ascii="Times New Roman" w:hAnsi="Times New Roman" w:eastAsia="仿宋_GB2312" w:cs="仿宋_GB2312"/>
          <w:spacing w:val="-20"/>
          <w:sz w:val="32"/>
          <w:szCs w:val="32"/>
          <w:lang w:val="en-US" w:eastAsia="zh-CN"/>
        </w:rPr>
        <w:t>炭步镇</w:t>
      </w:r>
      <w:r>
        <w:rPr>
          <w:rFonts w:hint="eastAsia" w:ascii="Times New Roman" w:hAnsi="Times New Roman" w:eastAsia="仿宋_GB2312" w:cs="仿宋_GB2312"/>
          <w:sz w:val="32"/>
          <w:szCs w:val="32"/>
        </w:rPr>
        <w:t>建设规划，完善城市功</w:t>
      </w:r>
      <w:r>
        <w:rPr>
          <w:rFonts w:hint="eastAsia" w:ascii="Times New Roman" w:hAnsi="Times New Roman" w:eastAsia="仿宋_GB2312" w:cs="仿宋_GB2312"/>
          <w:spacing w:val="6"/>
          <w:sz w:val="32"/>
          <w:szCs w:val="32"/>
        </w:rPr>
        <w:t>能</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改善城市环境，促进经济、文化发展，广州市</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3"/>
          <w:sz w:val="32"/>
          <w:szCs w:val="32"/>
        </w:rPr>
        <w:t>区人</w:t>
      </w:r>
      <w:r>
        <w:rPr>
          <w:rFonts w:hint="eastAsia" w:ascii="Times New Roman" w:hAnsi="Times New Roman" w:eastAsia="仿宋_GB2312" w:cs="仿宋_GB2312"/>
          <w:spacing w:val="5"/>
          <w:sz w:val="32"/>
          <w:szCs w:val="32"/>
        </w:rPr>
        <w:t>民政府拟征收</w:t>
      </w:r>
      <w:r>
        <w:rPr>
          <w:rFonts w:hint="eastAsia" w:ascii="Times New Roman" w:hAnsi="Times New Roman" w:eastAsia="仿宋_GB2312" w:cs="仿宋_GB2312"/>
          <w:spacing w:val="5"/>
          <w:sz w:val="32"/>
          <w:szCs w:val="32"/>
          <w:lang w:val="en-US" w:eastAsia="zh-CN"/>
        </w:rPr>
        <w:t>广州市花都区炭步镇鸭湖水边经济合作社</w:t>
      </w:r>
      <w:r>
        <w:rPr>
          <w:rFonts w:hint="eastAsia" w:ascii="Times New Roman" w:hAnsi="Times New Roman" w:eastAsia="仿宋_GB2312" w:cs="仿宋_GB2312"/>
          <w:spacing w:val="6"/>
          <w:sz w:val="32"/>
          <w:szCs w:val="32"/>
        </w:rPr>
        <w:t>属</w:t>
      </w:r>
      <w:r>
        <w:rPr>
          <w:rFonts w:hint="eastAsia" w:ascii="Times New Roman" w:hAnsi="Times New Roman" w:eastAsia="仿宋_GB2312" w:cs="仿宋_GB2312"/>
          <w:sz w:val="32"/>
          <w:szCs w:val="32"/>
        </w:rPr>
        <w:t>下的集体土地</w:t>
      </w:r>
      <w:r>
        <w:rPr>
          <w:rFonts w:hint="eastAsia" w:ascii="Times New Roman" w:hAnsi="Times New Roman" w:eastAsia="仿宋_GB2312" w:cs="Times New Roman"/>
          <w:sz w:val="32"/>
          <w:szCs w:val="32"/>
          <w:lang w:val="en-US" w:eastAsia="zh-CN"/>
        </w:rPr>
        <w:t>0.6468</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rPr>
        <w:t>根据《中华人民共和国土地管理法》第二条、第四十五条、第四十七条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《中华人民共和国土地管理法实施条例》第二十七条、第二十八条，以及《广东省</w:t>
      </w:r>
      <w:r>
        <w:rPr>
          <w:rFonts w:hint="eastAsia" w:ascii="Times New Roman" w:hAnsi="Times New Roman" w:eastAsia="仿宋_GB2312" w:cs="仿宋_GB2312"/>
          <w:spacing w:val="6"/>
          <w:sz w:val="32"/>
          <w:szCs w:val="32"/>
        </w:rPr>
        <w:t>土地管理条例》第三十条等规定，结合</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5"/>
          <w:sz w:val="32"/>
          <w:szCs w:val="32"/>
        </w:rPr>
        <w:t>区的征收农用地</w:t>
      </w:r>
      <w:r>
        <w:rPr>
          <w:rFonts w:hint="eastAsia" w:ascii="Times New Roman" w:hAnsi="Times New Roman" w:eastAsia="仿宋_GB2312" w:cs="仿宋_GB2312"/>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76CD3C8D">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拟征收土地位于广州市花都区炭步镇鸭湖水边经济合作社范围内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根据《中华人民共和国土地管理法》第四十五条的规定，本次征收土地目的为由政府组织实施的能源、交通、水利、通信、邮政等基础设施建设需要用地的</w:t>
      </w:r>
      <w:r>
        <w:rPr>
          <w:rFonts w:hint="eastAsia" w:ascii="Times New Roman" w:hAnsi="Times New Roman" w:eastAsia="仿宋_GB2312" w:cs="Times New Roman"/>
          <w:color w:val="auto"/>
          <w:sz w:val="32"/>
          <w:szCs w:val="32"/>
          <w:highlight w:val="none"/>
          <w:lang w:eastAsia="zh-CN"/>
        </w:rPr>
        <w:t>。</w:t>
      </w:r>
    </w:p>
    <w:p w14:paraId="5F3FC73E">
      <w:pPr>
        <w:pStyle w:val="5"/>
        <w:keepNext/>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拟征收广州市花都区炭步镇鸭湖水边经济合作社集体所有土地</w:t>
      </w:r>
      <w:r>
        <w:rPr>
          <w:rFonts w:hint="eastAsia" w:ascii="Times New Roman" w:hAnsi="Times New Roman" w:eastAsia="仿宋_GB2312" w:cs="Times New Roman"/>
          <w:sz w:val="32"/>
          <w:szCs w:val="32"/>
          <w:lang w:val="en-US" w:eastAsia="zh-CN"/>
        </w:rPr>
        <w:t>0.6468</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9.7020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0.5768</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8.6520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0.0677公顷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1.0155</w:t>
      </w:r>
      <w:r>
        <w:rPr>
          <w:rFonts w:hint="default" w:ascii="Times New Roman" w:hAnsi="Times New Roman" w:eastAsia="仿宋_GB2312" w:cs="Times New Roman"/>
          <w:sz w:val="32"/>
          <w:szCs w:val="32"/>
        </w:rPr>
        <w:t>亩）；建设用地</w:t>
      </w:r>
      <w:r>
        <w:rPr>
          <w:rFonts w:hint="eastAsia" w:ascii="Times New Roman" w:hAnsi="Times New Roman" w:eastAsia="仿宋_GB2312" w:cs="Times New Roman"/>
          <w:sz w:val="32"/>
          <w:szCs w:val="32"/>
          <w:lang w:val="en-US" w:eastAsia="zh-CN"/>
        </w:rPr>
        <w:t>0.0700</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1.0500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根据《广东省自然资源厅关于广州市征收农用地区片综合地价成果的批复》（粤自然资函〔2024〕103号）的规定，土地补偿标准为</w:t>
      </w:r>
      <w:r>
        <w:rPr>
          <w:rFonts w:hint="eastAsia" w:ascii="Times New Roman" w:hAnsi="Times New Roman" w:eastAsia="仿宋_GB2312" w:cs="Times New Roman"/>
          <w:sz w:val="32"/>
          <w:szCs w:val="32"/>
          <w:lang w:val="en-US" w:eastAsia="zh-CN"/>
        </w:rPr>
        <w:t>82.5</w:t>
      </w:r>
      <w:r>
        <w:rPr>
          <w:rFonts w:hint="default" w:ascii="Times New Roman" w:hAnsi="Times New Roman" w:eastAsia="仿宋_GB2312" w:cs="Times New Roman"/>
          <w:sz w:val="32"/>
          <w:szCs w:val="32"/>
        </w:rPr>
        <w:t>万元/公顷，安置补助标准为</w:t>
      </w:r>
      <w:r>
        <w:rPr>
          <w:rFonts w:hint="eastAsia" w:ascii="Times New Roman" w:hAnsi="Times New Roman" w:eastAsia="仿宋_GB2312" w:cs="Times New Roman"/>
          <w:sz w:val="32"/>
          <w:szCs w:val="32"/>
          <w:lang w:val="en-US" w:eastAsia="zh-CN"/>
        </w:rPr>
        <w:t>82.5</w:t>
      </w:r>
      <w:r>
        <w:rPr>
          <w:rFonts w:hint="default" w:ascii="Times New Roman" w:hAnsi="Times New Roman" w:eastAsia="仿宋_GB2312" w:cs="Times New Roman"/>
          <w:sz w:val="32"/>
          <w:szCs w:val="32"/>
        </w:rPr>
        <w:t>万元/公顷</w:t>
      </w:r>
      <w:r>
        <w:rPr>
          <w:rFonts w:hint="eastAsia" w:ascii="Times New Roman" w:hAnsi="Times New Roman" w:eastAsia="仿宋_GB2312" w:cs="Times New Roman"/>
          <w:sz w:val="32"/>
          <w:szCs w:val="32"/>
          <w:lang w:val="en-US" w:eastAsia="zh-CN"/>
        </w:rPr>
        <w:t>。</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青苗及其他地上附着物补偿</w:t>
      </w:r>
    </w:p>
    <w:p w14:paraId="62EC316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青苗及其他地上附着物补偿参照《广州市花都区人民政府办公室印发花都区片区征地包干补偿工作方案的通知》（花府办〔2016〕12号</w:t>
      </w:r>
      <w:r>
        <w:rPr>
          <w:rFonts w:hint="eastAsia" w:eastAsia="仿宋_GB2312"/>
          <w:sz w:val="32"/>
        </w:rPr>
        <w:t>）的规定执行</w:t>
      </w:r>
      <w:r>
        <w:rPr>
          <w:rFonts w:hint="eastAsia" w:ascii="Times New Roman" w:hAnsi="Times New Roman" w:eastAsia="仿宋_GB2312" w:cs="Times New Roman"/>
          <w:color w:val="auto"/>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（一）货币安置。有关费用已包含在土地补偿费与安置补助费中。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sz w:val="32"/>
          <w:szCs w:val="32"/>
        </w:rPr>
        <w:t>（二）留用地安</w:t>
      </w:r>
      <w:r>
        <w:rPr>
          <w:rFonts w:hint="default" w:ascii="Times New Roman" w:hAnsi="Times New Roman" w:eastAsia="仿宋_GB2312" w:cs="Times New Roman"/>
          <w:color w:val="auto"/>
          <w:sz w:val="32"/>
          <w:szCs w:val="32"/>
        </w:rPr>
        <w:t>置。</w:t>
      </w:r>
      <w:r>
        <w:rPr>
          <w:rFonts w:hint="default" w:ascii="Times New Roman" w:hAnsi="Times New Roman" w:eastAsia="仿宋_GB2312" w:cs="Times New Roman"/>
          <w:color w:val="auto"/>
          <w:kern w:val="2"/>
          <w:sz w:val="32"/>
          <w:szCs w:val="32"/>
          <w:lang w:val="en-US" w:eastAsia="zh-CN" w:bidi="ar"/>
        </w:rPr>
        <w:t>根据《广东省人民政府办公厅关于加强征收农村集体土地留用地安置管理工作的意见》（粤府办〔2016〕30号）的规定，按实际征收土地面积的10%安排留用地，按照</w:t>
      </w:r>
      <w:r>
        <w:rPr>
          <w:rFonts w:hint="eastAsia" w:ascii="Times New Roman" w:hAnsi="Times New Roman" w:eastAsia="仿宋_GB2312" w:cs="Times New Roman"/>
          <w:color w:val="auto"/>
          <w:kern w:val="2"/>
          <w:sz w:val="32"/>
          <w:szCs w:val="32"/>
          <w:lang w:val="en-US" w:eastAsia="zh-CN" w:bidi="ar"/>
        </w:rPr>
        <w:t>实地留地</w:t>
      </w:r>
      <w:r>
        <w:rPr>
          <w:rFonts w:hint="default" w:ascii="Times New Roman" w:hAnsi="Times New Roman" w:eastAsia="仿宋_GB2312" w:cs="Times New Roman"/>
          <w:color w:val="auto"/>
          <w:kern w:val="2"/>
          <w:sz w:val="32"/>
          <w:szCs w:val="32"/>
          <w:lang w:val="en-US" w:eastAsia="zh-CN" w:bidi="ar"/>
        </w:rPr>
        <w:t>安排留用地。</w:t>
      </w:r>
    </w:p>
    <w:p w14:paraId="24F75313">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lang w:val="en-US" w:eastAsia="zh-CN" w:bidi="ar"/>
        </w:rPr>
        <w:t>（三）</w:t>
      </w:r>
      <w:r>
        <w:rPr>
          <w:rFonts w:hint="eastAsia" w:ascii="Times New Roman" w:hAnsi="Times New Roman" w:eastAsia="仿宋_GB2312" w:cs="仿宋_GB2312"/>
          <w:color w:val="auto"/>
          <w:kern w:val="2"/>
          <w:sz w:val="32"/>
          <w:szCs w:val="32"/>
          <w:lang w:val="en-US" w:eastAsia="zh-CN" w:bidi="ar"/>
        </w:rPr>
        <w:t>社会保障。</w:t>
      </w:r>
      <w:r>
        <w:rPr>
          <w:rFonts w:hint="eastAsia" w:ascii="Times New Roman" w:hAnsi="Times New Roman" w:eastAsia="仿宋_GB2312" w:cs="仿宋_GB2312"/>
          <w:color w:val="auto"/>
          <w:kern w:val="2"/>
          <w:sz w:val="32"/>
          <w:szCs w:val="32"/>
          <w:highlight w:val="none"/>
          <w:lang w:val="en-US" w:eastAsia="zh-CN" w:bidi="ar"/>
        </w:rPr>
        <w:t>该项目征收</w:t>
      </w:r>
      <w:r>
        <w:rPr>
          <w:rFonts w:hint="default" w:ascii="Times New Roman" w:hAnsi="Times New Roman" w:eastAsia="仿宋_GB2312" w:cs="Times New Roman"/>
          <w:sz w:val="32"/>
          <w:szCs w:val="32"/>
        </w:rPr>
        <w:t>炭步镇鸭湖村</w:t>
      </w:r>
      <w:r>
        <w:rPr>
          <w:rFonts w:hint="eastAsia" w:ascii="Times New Roman" w:hAnsi="Times New Roman" w:eastAsia="仿宋_GB2312" w:cs="仿宋_GB2312"/>
          <w:color w:val="auto"/>
          <w:kern w:val="2"/>
          <w:sz w:val="32"/>
          <w:szCs w:val="32"/>
          <w:highlight w:val="none"/>
          <w:lang w:val="en-US" w:eastAsia="zh-CN" w:bidi="ar"/>
        </w:rPr>
        <w:t>土地面积共9.7020亩，根据《广东省人民政府办公厅转发省人力资源社会保障厅关于进一步完善我省被征地农民养老保障政</w:t>
      </w:r>
      <w:bookmarkStart w:id="0" w:name="_GoBack"/>
      <w:bookmarkEnd w:id="0"/>
      <w:r>
        <w:rPr>
          <w:rFonts w:hint="eastAsia" w:ascii="Times New Roman" w:hAnsi="Times New Roman" w:eastAsia="仿宋_GB2312" w:cs="仿宋_GB2312"/>
          <w:color w:val="auto"/>
          <w:kern w:val="2"/>
          <w:sz w:val="32"/>
          <w:szCs w:val="32"/>
          <w:highlight w:val="none"/>
          <w:lang w:val="en-US" w:eastAsia="zh-CN" w:bidi="ar"/>
        </w:rPr>
        <w:t>策意见的通知》（粤府办〔2021〕22号）规定，核定该项目按2.14万元/亩的标准一次性计提征地社保费共20.77万元，预存入区“收缴被征地农民养老保障资金过渡户”，专款用于被征地农民养老保障。</w:t>
      </w:r>
    </w:p>
    <w:p w14:paraId="0E5524F0">
      <w:pPr>
        <w:pStyle w:val="5"/>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6C80C101">
      <w:pPr>
        <w:pStyle w:val="5"/>
        <w:spacing w:before="0" w:line="437" w:lineRule="exact"/>
        <w:ind w:left="0" w:right="260"/>
        <w:jc w:val="right"/>
        <w:rPr>
          <w:rFonts w:hint="eastAsia" w:ascii="仿宋_GB2312" w:hAnsi="仿宋_GB2312" w:eastAsia="仿宋_GB2312" w:cs="仿宋_GB2312"/>
          <w:sz w:val="32"/>
          <w:szCs w:val="32"/>
        </w:rPr>
      </w:pPr>
    </w:p>
    <w:p w14:paraId="04F09EC6">
      <w:pPr>
        <w:pStyle w:val="5"/>
        <w:spacing w:before="0" w:line="437" w:lineRule="exact"/>
        <w:ind w:left="0" w:right="260"/>
        <w:jc w:val="right"/>
        <w:rPr>
          <w:rFonts w:hint="eastAsia" w:ascii="仿宋_GB2312" w:hAnsi="仿宋_GB2312" w:eastAsia="仿宋_GB2312" w:cs="仿宋_GB2312"/>
          <w:sz w:val="32"/>
          <w:szCs w:val="32"/>
        </w:rPr>
      </w:pPr>
    </w:p>
    <w:p w14:paraId="2E72DDC4">
      <w:pPr>
        <w:pStyle w:val="5"/>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76397E1A">
      <w:pPr>
        <w:pStyle w:val="5"/>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25</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08B40E-E72A-46E2-B042-718000D997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A4784C-6E67-45AB-B95C-1B3FD369DDE4}"/>
  </w:font>
  <w:font w:name="Adobe 黑体 Std R">
    <w:altName w:val="黑体"/>
    <w:panose1 w:val="020B0400000000000000"/>
    <w:charset w:val="80"/>
    <w:family w:val="swiss"/>
    <w:pitch w:val="default"/>
    <w:sig w:usb0="00000000" w:usb1="00000000" w:usb2="00000016" w:usb3="00000000" w:csb0="00060007" w:csb1="00000000"/>
    <w:embedRegular r:id="rId3" w:fontKey="{7317A60A-DBDE-421F-8950-690069A2F8B4}"/>
  </w:font>
  <w:font w:name="方正小标宋简体">
    <w:panose1 w:val="02010600010101010101"/>
    <w:charset w:val="86"/>
    <w:family w:val="auto"/>
    <w:pitch w:val="default"/>
    <w:sig w:usb0="00000001" w:usb1="080E0000" w:usb2="00000000" w:usb3="00000000" w:csb0="00040000" w:csb1="00000000"/>
    <w:embedRegular r:id="rId4" w:fontKey="{FDB6E699-61F4-45DE-99A3-B8CA993DAD56}"/>
  </w:font>
  <w:font w:name="仿宋_GB2312">
    <w:panose1 w:val="02010609030101010101"/>
    <w:charset w:val="86"/>
    <w:family w:val="auto"/>
    <w:pitch w:val="default"/>
    <w:sig w:usb0="00000001" w:usb1="080E0000" w:usb2="00000000" w:usb3="00000000" w:csb0="00040000" w:csb1="00000000"/>
    <w:embedRegular r:id="rId5" w:fontKey="{62C3F2A0-9767-4A11-A988-B3D25995D5C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4C8162F"/>
    <w:rsid w:val="0822151D"/>
    <w:rsid w:val="08682950"/>
    <w:rsid w:val="088017D6"/>
    <w:rsid w:val="08CE609D"/>
    <w:rsid w:val="08D87341"/>
    <w:rsid w:val="0BC12118"/>
    <w:rsid w:val="0C890300"/>
    <w:rsid w:val="0D5A4B28"/>
    <w:rsid w:val="0D630F89"/>
    <w:rsid w:val="0DD83948"/>
    <w:rsid w:val="113F7E82"/>
    <w:rsid w:val="13E435A3"/>
    <w:rsid w:val="156B4FE9"/>
    <w:rsid w:val="161B7A15"/>
    <w:rsid w:val="162B00EE"/>
    <w:rsid w:val="16E50DE0"/>
    <w:rsid w:val="19977D8A"/>
    <w:rsid w:val="19C9383A"/>
    <w:rsid w:val="1B633486"/>
    <w:rsid w:val="1BB575EF"/>
    <w:rsid w:val="1BDD4B1E"/>
    <w:rsid w:val="1BE834C2"/>
    <w:rsid w:val="20F84D2C"/>
    <w:rsid w:val="219E39B8"/>
    <w:rsid w:val="25477C36"/>
    <w:rsid w:val="29C73F17"/>
    <w:rsid w:val="2BE439BC"/>
    <w:rsid w:val="2E4E5407"/>
    <w:rsid w:val="2F2F33BB"/>
    <w:rsid w:val="30742E42"/>
    <w:rsid w:val="329252A9"/>
    <w:rsid w:val="33085EB0"/>
    <w:rsid w:val="34394804"/>
    <w:rsid w:val="348E648D"/>
    <w:rsid w:val="34CC172C"/>
    <w:rsid w:val="34DF45E7"/>
    <w:rsid w:val="37DE6CE6"/>
    <w:rsid w:val="393F5438"/>
    <w:rsid w:val="39A42B0C"/>
    <w:rsid w:val="3B8E0546"/>
    <w:rsid w:val="3D0C6C55"/>
    <w:rsid w:val="3D4536F5"/>
    <w:rsid w:val="3ED5122D"/>
    <w:rsid w:val="401B62F2"/>
    <w:rsid w:val="432571D1"/>
    <w:rsid w:val="44135703"/>
    <w:rsid w:val="45343151"/>
    <w:rsid w:val="46753A21"/>
    <w:rsid w:val="47EA5951"/>
    <w:rsid w:val="4E8565F8"/>
    <w:rsid w:val="4FDC68BF"/>
    <w:rsid w:val="505F6CEB"/>
    <w:rsid w:val="54382FF3"/>
    <w:rsid w:val="54E02594"/>
    <w:rsid w:val="5AF63665"/>
    <w:rsid w:val="5D757D58"/>
    <w:rsid w:val="5EF369C2"/>
    <w:rsid w:val="5F7D66C9"/>
    <w:rsid w:val="60ED7905"/>
    <w:rsid w:val="628F77C1"/>
    <w:rsid w:val="63714235"/>
    <w:rsid w:val="6488303F"/>
    <w:rsid w:val="64ED2421"/>
    <w:rsid w:val="671A7149"/>
    <w:rsid w:val="6751773B"/>
    <w:rsid w:val="69DE0CFA"/>
    <w:rsid w:val="6A3739D1"/>
    <w:rsid w:val="6B8411B5"/>
    <w:rsid w:val="6DB30687"/>
    <w:rsid w:val="6F6A1399"/>
    <w:rsid w:val="6F8C3791"/>
    <w:rsid w:val="708E5910"/>
    <w:rsid w:val="739B1EE5"/>
    <w:rsid w:val="747B57C1"/>
    <w:rsid w:val="75B44CF4"/>
    <w:rsid w:val="768B3F84"/>
    <w:rsid w:val="76910A96"/>
    <w:rsid w:val="78540E39"/>
    <w:rsid w:val="785938F7"/>
    <w:rsid w:val="78EA6370"/>
    <w:rsid w:val="793A512F"/>
    <w:rsid w:val="799C1C50"/>
    <w:rsid w:val="7D5135A2"/>
    <w:rsid w:val="7E1D286D"/>
    <w:rsid w:val="7E6E5359"/>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1254</Words>
  <Characters>1347</Characters>
  <TotalTime>0</TotalTime>
  <ScaleCrop>false</ScaleCrop>
  <LinksUpToDate>false</LinksUpToDate>
  <CharactersWithSpaces>1391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KingStorm</cp:lastModifiedBy>
  <cp:lastPrinted>2024-12-02T08:00:00Z</cp:lastPrinted>
  <dcterms:modified xsi:type="dcterms:W3CDTF">2025-09-15T09:47:48Z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2052-12.1.0.22529</vt:lpwstr>
  </property>
  <property fmtid="{D5CDD505-2E9C-101B-9397-08002B2CF9AE}" pid="6" name="ICV">
    <vt:lpwstr>4DFBAE58533245A6A3E6FCA55C54D6E1</vt:lpwstr>
  </property>
  <property fmtid="{D5CDD505-2E9C-101B-9397-08002B2CF9AE}" pid="7" name="KSOTemplateDocerSaveRecord">
    <vt:lpwstr>eyJoZGlkIjoiOGFhZDdhYjg5N2Y5YzBjZmQxYzQ5ODBhZWQxYzkyYjYiLCJ1c2VySWQiOiIzODMzNjcwMzgifQ==</vt:lpwstr>
  </property>
</Properties>
</file>