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64D0E5">
      <w:pPr>
        <w:spacing w:line="560" w:lineRule="exact"/>
        <w:jc w:val="right"/>
        <w:rPr>
          <w:rFonts w:hint="eastAsia" w:ascii="方正小标宋_GBK" w:hAnsi="方正小标宋_GBK" w:eastAsia="方正小标宋_GBK" w:cs="方正小标宋_GBK"/>
          <w:bCs/>
          <w:color w:val="auto"/>
          <w:sz w:val="44"/>
          <w:szCs w:val="44"/>
        </w:rPr>
      </w:pPr>
      <w:r>
        <w:rPr>
          <w:rFonts w:hint="default" w:ascii="Times New Roman" w:hAnsi="Times New Roman" w:eastAsia="仿宋_GB2312" w:cs="Times New Roman"/>
          <w:sz w:val="32"/>
          <w:szCs w:val="32"/>
          <w:highlight w:val="none"/>
          <w:lang w:val="en-US" w:eastAsia="zh-CN"/>
        </w:rPr>
        <w:t>粤府土审（02）〔202</w:t>
      </w:r>
      <w:r>
        <w:rPr>
          <w:rFonts w:hint="eastAsia" w:ascii="Times New Roman" w:hAnsi="Times New Roman"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169</w:t>
      </w:r>
      <w:r>
        <w:rPr>
          <w:rFonts w:hint="default" w:ascii="Times New Roman" w:hAnsi="Times New Roman" w:eastAsia="仿宋_GB2312" w:cs="Times New Roman"/>
          <w:sz w:val="32"/>
          <w:szCs w:val="32"/>
          <w:highlight w:val="none"/>
          <w:lang w:val="en-US" w:eastAsia="zh-CN"/>
        </w:rPr>
        <w:t>号</w:t>
      </w:r>
    </w:p>
    <w:p w14:paraId="34ACF8B5">
      <w:pPr>
        <w:spacing w:line="560" w:lineRule="exact"/>
        <w:jc w:val="center"/>
        <w:rPr>
          <w:rFonts w:hint="eastAsia" w:ascii="方正小标宋_GBK" w:hAnsi="方正小标宋_GBK" w:eastAsia="方正小标宋_GBK" w:cs="方正小标宋_GBK"/>
          <w:bCs/>
          <w:color w:val="auto"/>
          <w:sz w:val="44"/>
          <w:szCs w:val="44"/>
        </w:rPr>
      </w:pPr>
    </w:p>
    <w:p w14:paraId="139C3C72">
      <w:pPr>
        <w:spacing w:line="560" w:lineRule="exact"/>
        <w:jc w:val="center"/>
        <w:rPr>
          <w:rFonts w:hint="eastAsia" w:ascii="方正小标宋简体" w:hAnsi="方正小标宋简体" w:eastAsia="方正小标宋简体" w:cs="方正小标宋简体"/>
          <w:bCs/>
          <w:color w:val="auto"/>
          <w:sz w:val="44"/>
          <w:szCs w:val="44"/>
          <w:u w:val="none"/>
        </w:rPr>
      </w:pPr>
      <w:r>
        <w:rPr>
          <w:rFonts w:hint="eastAsia" w:ascii="方正小标宋简体" w:hAnsi="方正小标宋简体" w:eastAsia="方正小标宋简体" w:cs="方正小标宋简体"/>
          <w:bCs/>
          <w:color w:val="auto"/>
          <w:sz w:val="44"/>
          <w:szCs w:val="44"/>
        </w:rPr>
        <w:t>广东省人民政府关于广州市花都区202</w:t>
      </w:r>
      <w:r>
        <w:rPr>
          <w:rFonts w:hint="eastAsia" w:ascii="方正小标宋简体" w:hAnsi="方正小标宋简体" w:eastAsia="方正小标宋简体" w:cs="方正小标宋简体"/>
          <w:bCs/>
          <w:color w:val="auto"/>
          <w:sz w:val="44"/>
          <w:szCs w:val="44"/>
          <w:lang w:val="en-US" w:eastAsia="zh-CN"/>
        </w:rPr>
        <w:t>4</w:t>
      </w:r>
      <w:r>
        <w:rPr>
          <w:rFonts w:hint="eastAsia" w:ascii="方正小标宋简体" w:hAnsi="方正小标宋简体" w:eastAsia="方正小标宋简体" w:cs="方正小标宋简体"/>
          <w:bCs/>
          <w:color w:val="auto"/>
          <w:sz w:val="44"/>
          <w:szCs w:val="44"/>
        </w:rPr>
        <w:t>年度第</w:t>
      </w:r>
      <w:r>
        <w:rPr>
          <w:rFonts w:hint="eastAsia" w:ascii="方正小标宋简体" w:hAnsi="方正小标宋简体" w:eastAsia="方正小标宋简体" w:cs="方正小标宋简体"/>
          <w:bCs/>
          <w:color w:val="auto"/>
          <w:sz w:val="44"/>
          <w:szCs w:val="44"/>
          <w:lang w:eastAsia="zh-CN"/>
        </w:rPr>
        <w:t>八十八</w:t>
      </w:r>
      <w:r>
        <w:rPr>
          <w:rFonts w:hint="eastAsia" w:ascii="方正小标宋简体" w:hAnsi="方正小标宋简体" w:eastAsia="方正小标宋简体" w:cs="方正小标宋简体"/>
          <w:bCs/>
          <w:color w:val="auto"/>
          <w:sz w:val="44"/>
          <w:szCs w:val="44"/>
        </w:rPr>
        <w:t>批次城镇建设用地</w:t>
      </w:r>
      <w:r>
        <w:rPr>
          <w:rFonts w:hint="eastAsia" w:ascii="方正小标宋简体" w:hAnsi="方正小标宋简体" w:eastAsia="方正小标宋简体" w:cs="方正小标宋简体"/>
          <w:bCs/>
          <w:color w:val="auto"/>
          <w:sz w:val="44"/>
          <w:szCs w:val="44"/>
          <w:u w:val="none"/>
        </w:rPr>
        <w:t>的批复</w:t>
      </w:r>
    </w:p>
    <w:p w14:paraId="66CA970B">
      <w:pPr>
        <w:widowControl/>
        <w:spacing w:line="600" w:lineRule="exact"/>
        <w:jc w:val="center"/>
        <w:textAlignment w:val="baseline"/>
        <w:rPr>
          <w:rFonts w:hint="eastAsia"/>
          <w:b/>
          <w:color w:val="auto"/>
          <w:sz w:val="32"/>
          <w:szCs w:val="32"/>
          <w:u w:val="none"/>
        </w:rPr>
      </w:pPr>
    </w:p>
    <w:p w14:paraId="093046C0">
      <w:pPr>
        <w:widowControl/>
        <w:spacing w:line="560" w:lineRule="exact"/>
        <w:jc w:val="left"/>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rPr>
        <w:t>广州市人民政府：</w:t>
      </w:r>
    </w:p>
    <w:p w14:paraId="5284D289">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lang w:val="en-US" w:eastAsia="zh-CN"/>
        </w:rPr>
        <w:t>《广州市花都区人民政府</w:t>
      </w:r>
      <w:r>
        <w:rPr>
          <w:rFonts w:hint="eastAsia" w:ascii="仿宋_GB2312" w:hAnsi="仿宋_GB2312" w:eastAsia="仿宋_GB2312" w:cs="仿宋_GB2312"/>
          <w:color w:val="auto"/>
          <w:sz w:val="32"/>
          <w:szCs w:val="32"/>
          <w:lang w:eastAsia="zh-CN"/>
        </w:rPr>
        <w:t>关于申请</w:t>
      </w:r>
      <w:r>
        <w:rPr>
          <w:rFonts w:hint="eastAsia" w:ascii="仿宋_GB2312" w:hAnsi="仿宋_GB2312" w:eastAsia="仿宋_GB2312" w:cs="仿宋_GB2312"/>
          <w:color w:val="auto"/>
          <w:sz w:val="32"/>
          <w:szCs w:val="32"/>
          <w:lang w:val="en-US" w:eastAsia="zh-CN"/>
        </w:rPr>
        <w:t>广州市花都区</w:t>
      </w:r>
      <w:r>
        <w:rPr>
          <w:rFonts w:hint="eastAsia" w:ascii="Times New Roman" w:hAnsi="Times New Roman" w:eastAsia="仿宋_GB2312" w:cs="Times New Roman"/>
          <w:color w:val="auto"/>
          <w:sz w:val="32"/>
          <w:szCs w:val="32"/>
          <w:highlight w:val="none"/>
          <w:u w:val="none"/>
          <w:lang w:val="en-US" w:eastAsia="zh-CN"/>
        </w:rPr>
        <w:t>202</w:t>
      </w:r>
      <w:r>
        <w:rPr>
          <w:rFonts w:hint="eastAsia" w:eastAsia="仿宋_GB2312" w:cs="Times New Roman"/>
          <w:color w:val="auto"/>
          <w:sz w:val="32"/>
          <w:szCs w:val="32"/>
          <w:highlight w:val="none"/>
          <w:u w:val="none"/>
          <w:lang w:val="en-US" w:eastAsia="zh-CN"/>
        </w:rPr>
        <w:t>4</w:t>
      </w:r>
      <w:r>
        <w:rPr>
          <w:rFonts w:hint="eastAsia" w:ascii="仿宋_GB2312" w:hAnsi="仿宋_GB2312" w:eastAsia="仿宋_GB2312" w:cs="仿宋_GB2312"/>
          <w:color w:val="auto"/>
          <w:sz w:val="32"/>
          <w:szCs w:val="32"/>
          <w:lang w:val="en-US" w:eastAsia="zh-CN"/>
        </w:rPr>
        <w:t>年度第八十八批次城镇建设用地土地征收</w:t>
      </w:r>
      <w:r>
        <w:rPr>
          <w:rFonts w:hint="eastAsia" w:ascii="仿宋_GB2312" w:hAnsi="仿宋_GB2312" w:eastAsia="仿宋_GB2312" w:cs="仿宋_GB2312"/>
          <w:color w:val="auto"/>
          <w:sz w:val="32"/>
          <w:szCs w:val="32"/>
          <w:lang w:eastAsia="zh-CN"/>
        </w:rPr>
        <w:t>的请示》</w:t>
      </w:r>
      <w:r>
        <w:rPr>
          <w:rFonts w:hint="eastAsia" w:ascii="仿宋_GB2312" w:hAnsi="仿宋_GB2312" w:eastAsia="仿宋_GB2312" w:cs="仿宋_GB2312"/>
          <w:color w:val="auto"/>
          <w:sz w:val="32"/>
          <w:szCs w:val="32"/>
          <w:highlight w:val="none"/>
          <w:lang w:val="en-US" w:eastAsia="zh-CN"/>
        </w:rPr>
        <w:t>（花府字</w:t>
      </w:r>
      <w:r>
        <w:rPr>
          <w:rFonts w:hint="eastAsia" w:ascii="Times New Roman" w:hAnsi="Times New Roman" w:eastAsia="仿宋_GB2312" w:cs="Times New Roman"/>
          <w:color w:val="auto"/>
          <w:sz w:val="32"/>
          <w:szCs w:val="32"/>
          <w:highlight w:val="none"/>
          <w:u w:val="none"/>
          <w:lang w:val="en-US" w:eastAsia="zh-CN"/>
        </w:rPr>
        <w:t>〔2025〕</w:t>
      </w:r>
      <w:r>
        <w:rPr>
          <w:rFonts w:hint="eastAsia" w:eastAsia="仿宋_GB2312" w:cs="Times New Roman"/>
          <w:color w:val="auto"/>
          <w:sz w:val="32"/>
          <w:szCs w:val="32"/>
          <w:highlight w:val="none"/>
          <w:u w:val="none"/>
          <w:lang w:val="en-US" w:eastAsia="zh-CN"/>
        </w:rPr>
        <w:t>63</w:t>
      </w:r>
      <w:r>
        <w:rPr>
          <w:rFonts w:hint="eastAsia" w:ascii="仿宋_GB2312" w:hAnsi="仿宋_GB2312" w:eastAsia="仿宋_GB2312" w:cs="仿宋_GB2312"/>
          <w:color w:val="auto"/>
          <w:sz w:val="32"/>
          <w:szCs w:val="32"/>
          <w:highlight w:val="none"/>
          <w:u w:val="none"/>
          <w:lang w:val="en-US" w:eastAsia="zh-CN"/>
        </w:rPr>
        <w:t>号</w:t>
      </w:r>
      <w:r>
        <w:rPr>
          <w:rFonts w:hint="eastAsia" w:ascii="仿宋_GB2312" w:hAnsi="仿宋_GB2312" w:eastAsia="仿宋_GB2312" w:cs="仿宋_GB2312"/>
          <w:color w:val="auto"/>
          <w:sz w:val="32"/>
          <w:szCs w:val="32"/>
          <w:highlight w:val="none"/>
          <w:lang w:val="zh-CN" w:eastAsia="zh-CN"/>
        </w:rPr>
        <w:t>）</w:t>
      </w:r>
      <w:r>
        <w:rPr>
          <w:rFonts w:hint="eastAsia" w:ascii="仿宋_GB2312" w:hAnsi="仿宋_GB2312" w:eastAsia="仿宋_GB2312" w:cs="仿宋_GB2312"/>
          <w:color w:val="auto"/>
          <w:sz w:val="32"/>
          <w:szCs w:val="32"/>
          <w:u w:val="none"/>
        </w:rPr>
        <w:t>及相关材料已通过审核。根据《中华人民共和国土地管理法》第四十四、</w:t>
      </w:r>
      <w:r>
        <w:rPr>
          <w:rFonts w:hint="eastAsia" w:ascii="仿宋_GB2312" w:hAnsi="仿宋_GB2312" w:eastAsia="仿宋_GB2312" w:cs="仿宋_GB2312"/>
          <w:color w:val="auto"/>
          <w:sz w:val="32"/>
          <w:szCs w:val="32"/>
          <w:u w:val="none"/>
          <w:lang w:eastAsia="zh-CN"/>
        </w:rPr>
        <w:t>四十五、</w:t>
      </w:r>
      <w:r>
        <w:rPr>
          <w:rFonts w:hint="eastAsia" w:ascii="仿宋_GB2312" w:hAnsi="仿宋_GB2312" w:eastAsia="仿宋_GB2312" w:cs="仿宋_GB2312"/>
          <w:color w:val="auto"/>
          <w:sz w:val="32"/>
          <w:szCs w:val="32"/>
          <w:highlight w:val="none"/>
          <w:u w:val="none"/>
        </w:rPr>
        <w:t>四十</w:t>
      </w:r>
      <w:r>
        <w:rPr>
          <w:rFonts w:hint="eastAsia" w:ascii="仿宋_GB2312" w:hAnsi="仿宋_GB2312" w:eastAsia="仿宋_GB2312" w:cs="仿宋_GB2312"/>
          <w:color w:val="auto"/>
          <w:sz w:val="32"/>
          <w:szCs w:val="32"/>
          <w:highlight w:val="none"/>
          <w:u w:val="none"/>
          <w:lang w:val="en-US" w:eastAsia="zh-CN"/>
        </w:rPr>
        <w:t>六</w:t>
      </w:r>
      <w:r>
        <w:rPr>
          <w:rFonts w:hint="eastAsia" w:ascii="仿宋_GB2312" w:hAnsi="仿宋_GB2312" w:eastAsia="仿宋_GB2312" w:cs="仿宋_GB2312"/>
          <w:color w:val="auto"/>
          <w:sz w:val="32"/>
          <w:szCs w:val="32"/>
          <w:highlight w:val="none"/>
          <w:u w:val="none"/>
        </w:rPr>
        <w:t>条有关规定</w:t>
      </w:r>
      <w:r>
        <w:rPr>
          <w:rFonts w:hint="eastAsia" w:ascii="仿宋_GB2312" w:hAnsi="仿宋_GB2312" w:eastAsia="仿宋_GB2312" w:cs="仿宋_GB2312"/>
          <w:color w:val="auto"/>
          <w:sz w:val="32"/>
          <w:szCs w:val="32"/>
          <w:u w:val="none"/>
        </w:rPr>
        <w:t>，批复如下：</w:t>
      </w:r>
    </w:p>
    <w:p w14:paraId="675C8925">
      <w:pPr>
        <w:pStyle w:val="6"/>
        <w:widowControl w:val="0"/>
        <w:autoSpaceDE w:val="0"/>
        <w:autoSpaceDN w:val="0"/>
        <w:spacing w:line="580" w:lineRule="exact"/>
        <w:ind w:firstLine="632"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同意使用</w:t>
      </w:r>
      <w:r>
        <w:rPr>
          <w:rFonts w:hint="eastAsia" w:eastAsia="仿宋_GB2312" w:cs="Times New Roman"/>
          <w:color w:val="auto"/>
          <w:kern w:val="2"/>
          <w:sz w:val="32"/>
          <w:szCs w:val="32"/>
          <w:highlight w:val="none"/>
          <w:u w:val="none"/>
          <w:lang w:val="en-US" w:eastAsia="zh-CN" w:bidi="ar-SA"/>
        </w:rPr>
        <w:t>2.0636</w:t>
      </w:r>
      <w:r>
        <w:rPr>
          <w:rFonts w:hint="eastAsia" w:ascii="Times New Roman" w:hAnsi="Times New Roman" w:eastAsia="仿宋_GB2312" w:cs="Times New Roman"/>
          <w:color w:val="auto"/>
          <w:kern w:val="2"/>
          <w:sz w:val="32"/>
          <w:szCs w:val="32"/>
          <w:highlight w:val="none"/>
          <w:u w:val="none"/>
          <w:lang w:val="en-US" w:eastAsia="zh-CN" w:bidi="ar-SA"/>
        </w:rPr>
        <w:t>公顷城镇建设用地，即同意你市将</w:t>
      </w:r>
      <w:r>
        <w:rPr>
          <w:rFonts w:hint="eastAsia" w:ascii="仿宋_GB2312" w:hAnsi="仿宋_GB2312" w:eastAsia="仿宋_GB2312" w:cs="仿宋_GB2312"/>
          <w:color w:val="auto"/>
          <w:kern w:val="2"/>
          <w:sz w:val="32"/>
          <w:szCs w:val="32"/>
          <w:highlight w:val="none"/>
          <w:u w:val="none"/>
          <w:lang w:val="en-US" w:eastAsia="zh-CN" w:bidi="ar-SA"/>
        </w:rPr>
        <w:t>花都区</w:t>
      </w:r>
      <w:r>
        <w:rPr>
          <w:rFonts w:hint="eastAsia" w:ascii="仿宋_GB2312" w:hAnsi="仿宋_GB2312" w:eastAsia="仿宋_GB2312" w:cs="仿宋_GB2312"/>
          <w:color w:val="auto"/>
          <w:sz w:val="32"/>
          <w:szCs w:val="32"/>
          <w:u w:val="none"/>
          <w:lang w:eastAsia="zh-CN"/>
        </w:rPr>
        <w:t>赤坭镇黄沙塘第一、第二、第三、第四经济合作社以及黄沙塘经济联合社</w:t>
      </w:r>
      <w:r>
        <w:rPr>
          <w:rFonts w:ascii="Times New Roman" w:hAnsi="Times New Roman" w:eastAsia="仿宋_GB2312" w:cs="Times New Roman"/>
          <w:color w:val="auto"/>
          <w:sz w:val="32"/>
          <w:szCs w:val="32"/>
          <w:u w:val="none"/>
        </w:rPr>
        <w:t>属下的集体农用地</w:t>
      </w:r>
      <w:r>
        <w:rPr>
          <w:rFonts w:hint="eastAsia" w:eastAsia="仿宋_GB2312"/>
          <w:color w:val="auto"/>
          <w:sz w:val="32"/>
          <w:szCs w:val="32"/>
          <w:lang w:val="en-US" w:eastAsia="zh-CN"/>
        </w:rPr>
        <w:t>2.0636</w:t>
      </w:r>
      <w:r>
        <w:rPr>
          <w:rFonts w:ascii="Times New Roman" w:hAnsi="Times New Roman" w:eastAsia="仿宋_GB2312" w:cs="Times New Roman"/>
          <w:color w:val="auto"/>
          <w:sz w:val="32"/>
          <w:szCs w:val="32"/>
          <w:u w:val="none"/>
        </w:rPr>
        <w:t>公顷（</w:t>
      </w:r>
      <w:r>
        <w:rPr>
          <w:rFonts w:hint="eastAsia" w:eastAsia="仿宋_GB2312"/>
          <w:sz w:val="32"/>
          <w:szCs w:val="32"/>
          <w:lang w:eastAsia="zh-CN"/>
        </w:rPr>
        <w:t>不涉及</w:t>
      </w:r>
      <w:r>
        <w:rPr>
          <w:rFonts w:hint="eastAsia" w:eastAsia="仿宋_GB2312"/>
          <w:sz w:val="32"/>
          <w:szCs w:val="32"/>
        </w:rPr>
        <w:t>耕地</w:t>
      </w:r>
      <w:r>
        <w:rPr>
          <w:rFonts w:eastAsia="仿宋_GB2312"/>
          <w:color w:val="auto"/>
          <w:sz w:val="32"/>
          <w:szCs w:val="32"/>
          <w:u w:val="none"/>
        </w:rPr>
        <w:t>）转为建设用地，</w:t>
      </w:r>
      <w:r>
        <w:rPr>
          <w:rFonts w:ascii="Times New Roman" w:hAnsi="Times New Roman" w:eastAsia="仿宋_GB2312" w:cs="Times New Roman"/>
          <w:color w:val="auto"/>
          <w:sz w:val="32"/>
          <w:szCs w:val="32"/>
          <w:u w:val="none"/>
        </w:rPr>
        <w:t>以上合计</w:t>
      </w:r>
      <w:r>
        <w:rPr>
          <w:rFonts w:hint="eastAsia" w:eastAsia="仿宋_GB2312"/>
          <w:color w:val="auto"/>
          <w:sz w:val="32"/>
          <w:szCs w:val="32"/>
          <w:lang w:val="en-US" w:eastAsia="zh-CN"/>
        </w:rPr>
        <w:t>2.0636</w:t>
      </w:r>
      <w:r>
        <w:rPr>
          <w:rFonts w:ascii="Times New Roman" w:hAnsi="Times New Roman" w:eastAsia="仿宋_GB2312" w:cs="Times New Roman"/>
          <w:color w:val="auto"/>
          <w:sz w:val="32"/>
          <w:szCs w:val="32"/>
          <w:u w:val="none"/>
        </w:rPr>
        <w:t>公顷集体土地一并办理</w:t>
      </w:r>
      <w:r>
        <w:rPr>
          <w:rFonts w:hint="eastAsia" w:ascii="Times New Roman" w:hAnsi="Times New Roman" w:eastAsia="仿宋_GB2312" w:cs="Times New Roman"/>
          <w:color w:val="auto"/>
          <w:sz w:val="32"/>
          <w:szCs w:val="32"/>
          <w:u w:val="none"/>
          <w:lang w:eastAsia="zh-CN"/>
        </w:rPr>
        <w:t>征地</w:t>
      </w:r>
      <w:r>
        <w:rPr>
          <w:rFonts w:ascii="Times New Roman" w:hAnsi="Times New Roman" w:eastAsia="仿宋_GB2312" w:cs="Times New Roman"/>
          <w:color w:val="auto"/>
          <w:sz w:val="32"/>
          <w:szCs w:val="32"/>
          <w:u w:val="none"/>
        </w:rPr>
        <w:t>手续</w:t>
      </w:r>
      <w:r>
        <w:rPr>
          <w:rFonts w:hint="eastAsia" w:eastAsia="仿宋_GB2312" w:cs="Times New Roman"/>
          <w:color w:val="auto"/>
          <w:sz w:val="32"/>
          <w:szCs w:val="32"/>
          <w:u w:val="none"/>
          <w:lang w:eastAsia="zh-CN"/>
        </w:rPr>
        <w:t>。</w:t>
      </w:r>
      <w:r>
        <w:rPr>
          <w:rFonts w:eastAsia="仿宋_GB2312"/>
          <w:color w:val="auto"/>
          <w:sz w:val="32"/>
          <w:szCs w:val="32"/>
          <w:highlight w:val="none"/>
          <w:u w:val="none"/>
        </w:rPr>
        <w:t>上述</w:t>
      </w:r>
      <w:r>
        <w:rPr>
          <w:rFonts w:hint="eastAsia" w:eastAsia="仿宋_GB2312"/>
          <w:color w:val="auto"/>
          <w:sz w:val="32"/>
          <w:szCs w:val="32"/>
          <w:highlight w:val="none"/>
          <w:u w:val="none"/>
          <w:lang w:eastAsia="zh-CN"/>
        </w:rPr>
        <w:t>批准建设用地</w:t>
      </w:r>
      <w:r>
        <w:rPr>
          <w:rFonts w:hint="eastAsia" w:eastAsia="仿宋_GB2312"/>
          <w:color w:val="auto"/>
          <w:sz w:val="32"/>
          <w:szCs w:val="32"/>
          <w:lang w:val="en-US" w:eastAsia="zh-CN"/>
        </w:rPr>
        <w:t>2.0636</w:t>
      </w:r>
      <w:r>
        <w:rPr>
          <w:rFonts w:eastAsia="仿宋_GB2312"/>
          <w:color w:val="auto"/>
          <w:sz w:val="32"/>
          <w:szCs w:val="32"/>
          <w:highlight w:val="none"/>
          <w:u w:val="none"/>
        </w:rPr>
        <w:t>公顷</w:t>
      </w:r>
      <w:r>
        <w:rPr>
          <w:rFonts w:hint="default" w:ascii="Times New Roman" w:hAnsi="Times New Roman" w:eastAsia="仿宋_GB2312" w:cs="Times New Roman"/>
          <w:sz w:val="32"/>
          <w:szCs w:val="32"/>
          <w:lang w:val="en-US" w:eastAsia="zh-CN"/>
        </w:rPr>
        <w:t>由</w:t>
      </w:r>
      <w:r>
        <w:rPr>
          <w:rFonts w:hint="default" w:ascii="Times New Roman" w:hAnsi="Times New Roman" w:eastAsia="仿宋_GB2312" w:cs="Times New Roman"/>
          <w:color w:val="000000"/>
          <w:kern w:val="0"/>
          <w:sz w:val="32"/>
          <w:szCs w:val="32"/>
          <w:u w:val="none"/>
          <w:lang w:val="en-US" w:eastAsia="zh-CN" w:bidi="ar"/>
        </w:rPr>
        <w:t>当地人民政府</w:t>
      </w:r>
      <w:r>
        <w:rPr>
          <w:rFonts w:hint="eastAsia" w:eastAsia="仿宋_GB2312" w:cs="Times New Roman"/>
          <w:color w:val="000000"/>
          <w:kern w:val="0"/>
          <w:sz w:val="32"/>
          <w:szCs w:val="32"/>
          <w:u w:val="none"/>
          <w:lang w:val="en-US" w:eastAsia="zh-CN" w:bidi="ar"/>
        </w:rPr>
        <w:t>依法依规</w:t>
      </w:r>
      <w:r>
        <w:rPr>
          <w:rFonts w:hint="default" w:ascii="Times New Roman" w:hAnsi="Times New Roman" w:eastAsia="仿宋_GB2312" w:cs="Times New Roman"/>
          <w:color w:val="000000"/>
          <w:kern w:val="0"/>
          <w:sz w:val="32"/>
          <w:szCs w:val="32"/>
          <w:u w:val="none"/>
          <w:lang w:val="en-US" w:eastAsia="zh-CN" w:bidi="ar"/>
        </w:rPr>
        <w:t>供应</w:t>
      </w:r>
      <w:r>
        <w:rPr>
          <w:rFonts w:eastAsia="仿宋_GB2312"/>
          <w:color w:val="000000"/>
          <w:sz w:val="32"/>
          <w:szCs w:val="32"/>
        </w:rPr>
        <w:t>。</w:t>
      </w:r>
    </w:p>
    <w:p w14:paraId="0AE2478C">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kern w:val="0"/>
          <w:sz w:val="32"/>
          <w:szCs w:val="32"/>
          <w:lang w:val="en-US" w:eastAsia="zh-CN" w:bidi="ar"/>
        </w:rPr>
        <w:t>请你市人民政府按照《中华人民共和国土地管理法》有关规定，严格履行征地批后实施程序，及时足额支付补偿费用，安排被征地农民的社会保障费用，落实安置措施，妥善解决好被征地农民的生产和生活，保证原有生活水平不降低，长远生计有保障。征地补偿安置不落实的，不得动工用地。</w:t>
      </w:r>
      <w:r>
        <w:rPr>
          <w:rFonts w:hint="eastAsia" w:ascii="仿宋_GB2312" w:hAnsi="仿宋_GB2312" w:eastAsia="仿宋_GB2312" w:cs="仿宋_GB2312"/>
          <w:color w:val="auto"/>
          <w:sz w:val="32"/>
          <w:szCs w:val="32"/>
          <w:highlight w:val="none"/>
          <w:u w:val="none"/>
          <w:lang w:eastAsia="zh-CN"/>
        </w:rPr>
        <w:t>你市相关不动产登记机构以此办理集体土地所有权注销或变更登记。</w:t>
      </w:r>
    </w:p>
    <w:p w14:paraId="4EC4DB7F">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rPr>
      </w:pP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b w:val="0"/>
          <w:bCs w:val="0"/>
          <w:color w:val="auto"/>
          <w:kern w:val="0"/>
          <w:sz w:val="32"/>
          <w:szCs w:val="32"/>
          <w:lang w:eastAsia="zh-CN" w:bidi="ar"/>
        </w:rPr>
        <w:t>使用土地涉及的耕地占用税等有关税费的收缴或调整，请按有关规定办理</w:t>
      </w:r>
      <w:r>
        <w:rPr>
          <w:rFonts w:hint="eastAsia" w:ascii="仿宋_GB2312" w:hAnsi="仿宋_GB2312" w:eastAsia="仿宋_GB2312" w:cs="仿宋_GB2312"/>
          <w:color w:val="auto"/>
          <w:kern w:val="0"/>
          <w:sz w:val="32"/>
          <w:szCs w:val="32"/>
          <w:highlight w:val="none"/>
          <w:lang w:val="en-US" w:eastAsia="zh-CN" w:bidi="ar"/>
        </w:rPr>
        <w:t>。</w:t>
      </w:r>
    </w:p>
    <w:p w14:paraId="212330DD">
      <w:pPr>
        <w:keepNext w:val="0"/>
        <w:keepLines w:val="0"/>
        <w:pageBreakBefore w:val="0"/>
        <w:widowControl/>
        <w:kinsoku/>
        <w:wordWrap/>
        <w:overflowPunct/>
        <w:topLinePunct w:val="0"/>
        <w:bidi w:val="0"/>
        <w:adjustRightInd/>
        <w:snapToGrid/>
        <w:spacing w:line="560" w:lineRule="exact"/>
        <w:ind w:firstLine="645"/>
        <w:textAlignment w:val="baseline"/>
        <w:rPr>
          <w:rFonts w:hint="eastAsia" w:ascii="仿宋_GB2312" w:hAnsi="仿宋_GB2312" w:eastAsia="仿宋_GB2312" w:cs="仿宋_GB2312"/>
          <w:b w:val="0"/>
          <w:color w:val="auto"/>
          <w:sz w:val="32"/>
          <w:szCs w:val="32"/>
          <w:highlight w:val="none"/>
        </w:rPr>
      </w:pPr>
      <w:r>
        <w:rPr>
          <w:rFonts w:hint="eastAsia" w:ascii="仿宋_GB2312" w:hAnsi="仿宋_GB2312" w:eastAsia="仿宋_GB2312" w:cs="仿宋_GB2312"/>
          <w:color w:val="auto"/>
          <w:sz w:val="32"/>
          <w:szCs w:val="32"/>
          <w:highlight w:val="none"/>
          <w:lang w:eastAsia="zh-CN"/>
        </w:rPr>
        <w:t>四</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u w:val="none"/>
        </w:rPr>
        <w:t>批后实施情况和</w:t>
      </w:r>
      <w:r>
        <w:rPr>
          <w:rFonts w:hint="eastAsia" w:ascii="仿宋_GB2312" w:hAnsi="仿宋_GB2312" w:eastAsia="仿宋_GB2312" w:cs="仿宋_GB2312"/>
          <w:color w:val="auto"/>
          <w:sz w:val="32"/>
          <w:szCs w:val="32"/>
          <w:highlight w:val="none"/>
        </w:rPr>
        <w:t>具体项目供地情况须按规定报备。</w:t>
      </w:r>
    </w:p>
    <w:p w14:paraId="187D18A0">
      <w:pPr>
        <w:widowControl/>
        <w:spacing w:line="600" w:lineRule="exact"/>
        <w:textAlignment w:val="baseline"/>
        <w:rPr>
          <w:rFonts w:hint="eastAsia" w:ascii="仿宋_GB2312" w:hAnsi="仿宋_GB2312" w:eastAsia="仿宋_GB2312" w:cs="仿宋_GB2312"/>
          <w:color w:val="auto"/>
          <w:sz w:val="32"/>
          <w:szCs w:val="32"/>
        </w:rPr>
      </w:pPr>
    </w:p>
    <w:p w14:paraId="41B02CD6">
      <w:pPr>
        <w:widowControl/>
        <w:spacing w:line="600" w:lineRule="exact"/>
        <w:textAlignment w:val="baseline"/>
        <w:rPr>
          <w:rFonts w:hint="eastAsia" w:ascii="仿宋_GB2312" w:hAnsi="仿宋_GB2312" w:eastAsia="仿宋_GB2312" w:cs="仿宋_GB2312"/>
          <w:color w:val="auto"/>
          <w:sz w:val="32"/>
          <w:szCs w:val="32"/>
        </w:rPr>
      </w:pPr>
    </w:p>
    <w:p w14:paraId="65786145">
      <w:pPr>
        <w:widowControl/>
        <w:spacing w:line="600" w:lineRule="exact"/>
        <w:ind w:firstLine="645"/>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广东省人民政府</w:t>
      </w:r>
    </w:p>
    <w:p w14:paraId="247084E5">
      <w:pPr>
        <w:widowControl/>
        <w:spacing w:line="600" w:lineRule="exact"/>
        <w:ind w:firstLine="645"/>
        <w:jc w:val="center"/>
        <w:textAlignment w:val="baseline"/>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                      </w:t>
      </w:r>
      <w:r>
        <w:rPr>
          <w:rFonts w:hint="eastAsia" w:ascii="仿宋_GB2312" w:hAnsi="仿宋_GB2312" w:eastAsia="仿宋_GB2312" w:cs="仿宋_GB2312"/>
          <w:color w:val="auto"/>
          <w:sz w:val="32"/>
          <w:szCs w:val="32"/>
          <w:lang w:val="en-US" w:eastAsia="zh-CN"/>
        </w:rPr>
        <w:t xml:space="preserve">  </w:t>
      </w:r>
      <w:r>
        <w:rPr>
          <w:rFonts w:hint="eastAsia" w:ascii="Times New Roman" w:hAnsi="Times New Roman" w:eastAsia="仿宋_GB2312" w:cs="Times New Roman"/>
          <w:color w:val="auto"/>
          <w:kern w:val="2"/>
          <w:sz w:val="32"/>
          <w:szCs w:val="32"/>
          <w:highlight w:val="none"/>
          <w:u w:val="none"/>
          <w:lang w:val="en-US" w:eastAsia="zh-CN" w:bidi="ar-SA"/>
        </w:rPr>
        <w:t>2025年</w:t>
      </w:r>
      <w:r>
        <w:rPr>
          <w:rFonts w:hint="eastAsia" w:eastAsia="仿宋_GB2312" w:cs="Times New Roman"/>
          <w:color w:val="auto"/>
          <w:kern w:val="2"/>
          <w:sz w:val="32"/>
          <w:szCs w:val="32"/>
          <w:highlight w:val="none"/>
          <w:u w:val="none"/>
          <w:lang w:val="en-US" w:eastAsia="zh-CN" w:bidi="ar-SA"/>
        </w:rPr>
        <w:t>9</w:t>
      </w:r>
      <w:r>
        <w:rPr>
          <w:rFonts w:hint="eastAsia" w:ascii="Times New Roman" w:hAnsi="Times New Roman" w:eastAsia="仿宋_GB2312" w:cs="Times New Roman"/>
          <w:color w:val="auto"/>
          <w:kern w:val="2"/>
          <w:sz w:val="32"/>
          <w:szCs w:val="32"/>
          <w:highlight w:val="none"/>
          <w:u w:val="none"/>
          <w:lang w:val="en-US" w:eastAsia="zh-CN" w:bidi="ar-SA"/>
        </w:rPr>
        <w:t>月</w:t>
      </w:r>
      <w:r>
        <w:rPr>
          <w:rFonts w:hint="eastAsia" w:eastAsia="仿宋_GB2312" w:cs="Times New Roman"/>
          <w:color w:val="auto"/>
          <w:kern w:val="2"/>
          <w:sz w:val="32"/>
          <w:szCs w:val="32"/>
          <w:highlight w:val="none"/>
          <w:u w:val="none"/>
          <w:lang w:val="en-US" w:eastAsia="zh-CN" w:bidi="ar-SA"/>
        </w:rPr>
        <w:t>9</w:t>
      </w:r>
      <w:r>
        <w:rPr>
          <w:rFonts w:hint="eastAsia" w:ascii="仿宋_GB2312" w:hAnsi="仿宋_GB2312" w:eastAsia="仿宋_GB2312" w:cs="仿宋_GB2312"/>
          <w:color w:val="auto"/>
          <w:sz w:val="32"/>
          <w:szCs w:val="32"/>
        </w:rPr>
        <w:t>日</w:t>
      </w:r>
    </w:p>
    <w:p w14:paraId="11B7957D">
      <w:pPr>
        <w:widowControl/>
        <w:spacing w:line="600" w:lineRule="exact"/>
        <w:textAlignment w:val="baseline"/>
        <w:rPr>
          <w:rFonts w:hint="eastAsia" w:eastAsia="仿宋_GB2312"/>
          <w:color w:val="auto"/>
          <w:sz w:val="32"/>
          <w:szCs w:val="32"/>
        </w:rPr>
      </w:pPr>
    </w:p>
    <w:p w14:paraId="24615EB3">
      <w:pPr>
        <w:widowControl/>
        <w:spacing w:line="600" w:lineRule="exact"/>
        <w:textAlignment w:val="baseline"/>
        <w:rPr>
          <w:rFonts w:hint="eastAsia" w:eastAsia="仿宋_GB2312"/>
          <w:color w:val="auto"/>
          <w:sz w:val="32"/>
          <w:szCs w:val="32"/>
        </w:rPr>
      </w:pPr>
    </w:p>
    <w:p w14:paraId="1D8FC74C">
      <w:pPr>
        <w:widowControl/>
        <w:spacing w:line="600" w:lineRule="exact"/>
        <w:textAlignment w:val="baseline"/>
        <w:rPr>
          <w:rFonts w:hint="eastAsia" w:eastAsia="仿宋_GB2312"/>
          <w:color w:val="auto"/>
          <w:sz w:val="32"/>
          <w:szCs w:val="32"/>
        </w:rPr>
      </w:pPr>
    </w:p>
    <w:p w14:paraId="7DC06B6D">
      <w:pPr>
        <w:spacing w:line="600" w:lineRule="exact"/>
        <w:rPr>
          <w:rFonts w:hint="eastAsia" w:ascii="黑体" w:hAnsi="黑体" w:eastAsia="黑体"/>
          <w:color w:val="auto"/>
          <w:sz w:val="32"/>
          <w:szCs w:val="32"/>
        </w:rPr>
      </w:pPr>
      <w:r>
        <w:rPr>
          <w:rFonts w:hint="eastAsia" w:ascii="黑体" w:hAnsi="黑体" w:eastAsia="黑体"/>
          <w:color w:val="auto"/>
          <w:sz w:val="32"/>
          <w:szCs w:val="32"/>
        </w:rPr>
        <w:t>公开方式：</w:t>
      </w:r>
      <w:r>
        <w:rPr>
          <w:rFonts w:hint="eastAsia" w:eastAsia="仿宋_GB2312"/>
          <w:color w:val="auto"/>
          <w:sz w:val="32"/>
          <w:szCs w:val="32"/>
        </w:rPr>
        <w:t>主动公开</w:t>
      </w:r>
      <w:bookmarkStart w:id="0" w:name="_GoBack"/>
      <w:bookmarkEnd w:id="0"/>
    </w:p>
    <w:p w14:paraId="0A1E5A8C">
      <w:pPr>
        <w:spacing w:line="560" w:lineRule="exact"/>
        <w:ind w:left="1104" w:leftChars="201" w:hanging="690" w:hangingChars="250"/>
        <w:rPr>
          <w:color w:val="auto"/>
        </w:rPr>
      </w:pPr>
      <w:r>
        <w:rPr>
          <w:rFonts w:eastAsia="仿宋_GB2312"/>
          <w:color w:val="auto"/>
          <w:sz w:val="28"/>
          <w:szCs w:val="28"/>
        </w:rPr>
        <w:t>抄送：</w:t>
      </w:r>
      <w:r>
        <w:rPr>
          <w:rFonts w:hint="eastAsia" w:eastAsia="仿宋_GB2312"/>
          <w:color w:val="auto"/>
          <w:sz w:val="28"/>
          <w:szCs w:val="28"/>
        </w:rPr>
        <w:t>国家自然资源督察广州局，财政部广东监管局，省财政厅、省人力资源和社会保障厅、省自然资源厅、省农业农村厅、国家税务总局广东省税务局</w:t>
      </w:r>
      <w:r>
        <w:rPr>
          <w:rFonts w:hint="eastAsia" w:eastAsia="仿宋_GB2312"/>
          <w:color w:val="auto"/>
          <w:sz w:val="28"/>
          <w:szCs w:val="28"/>
          <w:lang w:eastAsia="zh-CN"/>
        </w:rPr>
        <w:t>。</w:t>
      </w:r>
    </w:p>
    <w:sectPr>
      <w:footerReference r:id="rId3" w:type="default"/>
      <w:footerReference r:id="rId4" w:type="even"/>
      <w:pgSz w:w="11906" w:h="16838"/>
      <w:pgMar w:top="1814" w:right="1361" w:bottom="1474" w:left="1531" w:header="851" w:footer="1587" w:gutter="0"/>
      <w:cols w:space="720" w:num="1"/>
      <w:titlePg/>
      <w:rtlGutter w:val="0"/>
      <w:docGrid w:type="linesAndChar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auto"/>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236CB">
    <w:pPr>
      <w:pStyle w:val="2"/>
      <w:framePr w:wrap="around" w:vAnchor="text" w:hAnchor="margin" w:xAlign="outside" w:y="1"/>
      <w:rPr>
        <w:rStyle w:val="5"/>
        <w:rFonts w:hint="eastAsia"/>
        <w:sz w:val="28"/>
        <w:szCs w:val="28"/>
      </w:rPr>
    </w:pPr>
    <w:r>
      <w:rPr>
        <w:rStyle w:val="5"/>
        <w:rFonts w:hint="eastAsia"/>
        <w:sz w:val="28"/>
        <w:szCs w:val="28"/>
      </w:rPr>
      <w:t xml:space="preserve">— </w:t>
    </w:r>
    <w:r>
      <w:rPr>
        <w:sz w:val="28"/>
        <w:szCs w:val="28"/>
      </w:rPr>
      <w:fldChar w:fldCharType="begin"/>
    </w:r>
    <w:r>
      <w:rPr>
        <w:rStyle w:val="5"/>
        <w:sz w:val="28"/>
        <w:szCs w:val="28"/>
      </w:rPr>
      <w:instrText xml:space="preserve">PAGE  </w:instrText>
    </w:r>
    <w:r>
      <w:rPr>
        <w:sz w:val="28"/>
        <w:szCs w:val="28"/>
      </w:rPr>
      <w:fldChar w:fldCharType="separate"/>
    </w:r>
    <w:r>
      <w:rPr>
        <w:rStyle w:val="5"/>
        <w:sz w:val="28"/>
        <w:szCs w:val="28"/>
      </w:rPr>
      <w:t>4</w:t>
    </w:r>
    <w:r>
      <w:rPr>
        <w:sz w:val="28"/>
        <w:szCs w:val="28"/>
      </w:rPr>
      <w:fldChar w:fldCharType="end"/>
    </w:r>
    <w:r>
      <w:rPr>
        <w:rStyle w:val="5"/>
        <w:rFonts w:hint="eastAsia"/>
        <w:sz w:val="28"/>
        <w:szCs w:val="28"/>
      </w:rPr>
      <w:t xml:space="preserve"> —</w:t>
    </w:r>
  </w:p>
  <w:p w14:paraId="0386C324">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4CCFB">
    <w:pPr>
      <w:pStyle w:val="2"/>
      <w:framePr w:wrap="around" w:vAnchor="text" w:hAnchor="margin" w:xAlign="outside" w:y="1"/>
      <w:rPr>
        <w:rStyle w:val="5"/>
      </w:rPr>
    </w:pPr>
    <w:r>
      <w:fldChar w:fldCharType="begin"/>
    </w:r>
    <w:r>
      <w:rPr>
        <w:rStyle w:val="5"/>
      </w:rPr>
      <w:instrText xml:space="preserve">PAGE  </w:instrText>
    </w:r>
    <w:r>
      <w:fldChar w:fldCharType="end"/>
    </w:r>
  </w:p>
  <w:p w14:paraId="33422E76">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7239E8"/>
    <w:rsid w:val="02810FF7"/>
    <w:rsid w:val="0346238A"/>
    <w:rsid w:val="0C9920D9"/>
    <w:rsid w:val="0D953957"/>
    <w:rsid w:val="13236B26"/>
    <w:rsid w:val="15EA2560"/>
    <w:rsid w:val="18F4146A"/>
    <w:rsid w:val="1B473CAE"/>
    <w:rsid w:val="1EBE5AFE"/>
    <w:rsid w:val="23375B91"/>
    <w:rsid w:val="23BE3A38"/>
    <w:rsid w:val="24491BE9"/>
    <w:rsid w:val="24DE5185"/>
    <w:rsid w:val="26AD3E24"/>
    <w:rsid w:val="2E6F1820"/>
    <w:rsid w:val="30534F1B"/>
    <w:rsid w:val="33935FAE"/>
    <w:rsid w:val="38E15352"/>
    <w:rsid w:val="3BBA7AA0"/>
    <w:rsid w:val="3E6E486D"/>
    <w:rsid w:val="3EA242D1"/>
    <w:rsid w:val="407B1783"/>
    <w:rsid w:val="429C3C8E"/>
    <w:rsid w:val="44481963"/>
    <w:rsid w:val="449D58A0"/>
    <w:rsid w:val="483A73C5"/>
    <w:rsid w:val="4ABC22F2"/>
    <w:rsid w:val="4F617A2B"/>
    <w:rsid w:val="506F56B2"/>
    <w:rsid w:val="51C56C38"/>
    <w:rsid w:val="522D01E0"/>
    <w:rsid w:val="555846C7"/>
    <w:rsid w:val="56A7023F"/>
    <w:rsid w:val="5D293D56"/>
    <w:rsid w:val="67B63BB5"/>
    <w:rsid w:val="69B5367B"/>
    <w:rsid w:val="6D593268"/>
    <w:rsid w:val="770C5427"/>
    <w:rsid w:val="7AD83918"/>
    <w:rsid w:val="7BF82EAB"/>
    <w:rsid w:val="7C7236B9"/>
    <w:rsid w:val="7E2F5E02"/>
    <w:rsid w:val="7FDC46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Times New Roman"/>
      <w:kern w:val="2"/>
      <w:sz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2025-03-24T02:12:00Z</dcterms:created>
  <dc:creator>123</dc:creator>
  <cp:lastModifiedBy>陈湘鹏</cp:lastModifiedBy>
  <dcterms:modified xsi:type="dcterms:W3CDTF">2025-09-26T08:48:28Z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50C58CED391548A2B10BA66E45B58CF7</vt:lpwstr>
  </property>
</Properties>
</file>