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4D471">
      <w:pPr>
        <w:keepNext w:val="0"/>
        <w:keepLines w:val="0"/>
        <w:pageBreakBefore w:val="0"/>
        <w:kinsoku/>
        <w:overflowPunct/>
        <w:topLinePunct w:val="0"/>
        <w:autoSpaceDE/>
        <w:autoSpaceDN/>
        <w:bidi w:val="0"/>
        <w:adjustRightInd/>
        <w:snapToGrid/>
        <w:spacing w:line="576" w:lineRule="exact"/>
        <w:ind w:left="-178" w:leftChars="-85" w:right="-153" w:rightChars="-73"/>
        <w:jc w:val="center"/>
        <w:textAlignment w:val="auto"/>
        <w:rPr>
          <w:rFonts w:hint="eastAsia" w:ascii="方正小标宋_GBK" w:hAnsi="方正小标宋_GBK" w:eastAsia="方正小标宋_GBK" w:cs="方正小标宋_GBK"/>
          <w:b w:val="0"/>
          <w:bCs/>
          <w:sz w:val="44"/>
          <w:szCs w:val="44"/>
          <w:highlight w:val="none"/>
          <w:lang w:val="en-US" w:eastAsia="zh-CN"/>
        </w:rPr>
      </w:pPr>
      <w:r>
        <w:rPr>
          <w:rFonts w:hint="eastAsia" w:ascii="方正小标宋_GBK" w:hAnsi="方正小标宋_GBK" w:eastAsia="方正小标宋_GBK" w:cs="方正小标宋_GBK"/>
          <w:b w:val="0"/>
          <w:bCs/>
          <w:sz w:val="44"/>
          <w:szCs w:val="44"/>
          <w:highlight w:val="none"/>
        </w:rPr>
        <w:t>广州市花都区</w:t>
      </w:r>
      <w:r>
        <w:rPr>
          <w:rFonts w:hint="eastAsia" w:ascii="方正小标宋_GBK" w:hAnsi="方正小标宋_GBK" w:eastAsia="方正小标宋_GBK" w:cs="方正小标宋_GBK"/>
          <w:b w:val="0"/>
          <w:bCs/>
          <w:sz w:val="44"/>
          <w:szCs w:val="44"/>
          <w:highlight w:val="none"/>
          <w:lang w:val="en-US" w:eastAsia="zh-CN"/>
        </w:rPr>
        <w:t>人力资源和社会保障局</w:t>
      </w:r>
    </w:p>
    <w:p w14:paraId="19D73D7F">
      <w:pPr>
        <w:keepNext w:val="0"/>
        <w:keepLines w:val="0"/>
        <w:pageBreakBefore w:val="0"/>
        <w:kinsoku/>
        <w:overflowPunct/>
        <w:topLinePunct w:val="0"/>
        <w:autoSpaceDE/>
        <w:autoSpaceDN/>
        <w:bidi w:val="0"/>
        <w:adjustRightInd/>
        <w:snapToGrid/>
        <w:spacing w:line="576" w:lineRule="exact"/>
        <w:ind w:left="-178" w:leftChars="-85" w:right="-153" w:rightChars="-73"/>
        <w:jc w:val="center"/>
        <w:textAlignment w:val="auto"/>
        <w:rPr>
          <w:rFonts w:hint="eastAsia" w:ascii="方正小标宋_GBK" w:hAnsi="方正小标宋_GBK" w:eastAsia="方正小标宋_GBK" w:cs="方正小标宋_GBK"/>
          <w:b w:val="0"/>
          <w:bCs/>
          <w:sz w:val="44"/>
          <w:szCs w:val="44"/>
          <w:highlight w:val="none"/>
        </w:rPr>
      </w:pPr>
      <w:r>
        <w:rPr>
          <w:rFonts w:hint="eastAsia" w:ascii="方正小标宋_GBK" w:hAnsi="方正小标宋_GBK" w:eastAsia="方正小标宋_GBK" w:cs="方正小标宋_GBK"/>
          <w:b w:val="0"/>
          <w:bCs/>
          <w:sz w:val="44"/>
          <w:szCs w:val="44"/>
          <w:highlight w:val="none"/>
          <w:lang w:val="en-US" w:eastAsia="zh-CN"/>
        </w:rPr>
        <w:t>2025</w:t>
      </w:r>
      <w:r>
        <w:rPr>
          <w:rFonts w:hint="eastAsia" w:ascii="方正小标宋_GBK" w:hAnsi="方正小标宋_GBK" w:eastAsia="方正小标宋_GBK" w:cs="方正小标宋_GBK"/>
          <w:b w:val="0"/>
          <w:bCs/>
          <w:sz w:val="44"/>
          <w:szCs w:val="44"/>
          <w:highlight w:val="none"/>
        </w:rPr>
        <w:t>年度行政许可实施和监督</w:t>
      </w:r>
    </w:p>
    <w:p w14:paraId="0D786F0C">
      <w:pPr>
        <w:keepNext w:val="0"/>
        <w:keepLines w:val="0"/>
        <w:pageBreakBefore w:val="0"/>
        <w:kinsoku/>
        <w:overflowPunct/>
        <w:topLinePunct w:val="0"/>
        <w:autoSpaceDE/>
        <w:autoSpaceDN/>
        <w:bidi w:val="0"/>
        <w:adjustRightInd/>
        <w:snapToGrid/>
        <w:spacing w:line="576" w:lineRule="exact"/>
        <w:ind w:left="-178" w:leftChars="-85" w:right="-153" w:rightChars="-73"/>
        <w:jc w:val="center"/>
        <w:textAlignment w:val="auto"/>
        <w:rPr>
          <w:rFonts w:hint="eastAsia" w:ascii="方正小标宋_GBK" w:hAnsi="方正小标宋_GBK" w:eastAsia="方正小标宋_GBK" w:cs="方正小标宋_GBK"/>
          <w:b w:val="0"/>
          <w:bCs/>
          <w:sz w:val="44"/>
          <w:szCs w:val="44"/>
          <w:highlight w:val="none"/>
        </w:rPr>
      </w:pPr>
      <w:r>
        <w:rPr>
          <w:rFonts w:hint="eastAsia" w:ascii="方正小标宋_GBK" w:hAnsi="方正小标宋_GBK" w:eastAsia="方正小标宋_GBK" w:cs="方正小标宋_GBK"/>
          <w:b w:val="0"/>
          <w:bCs/>
          <w:sz w:val="44"/>
          <w:szCs w:val="44"/>
          <w:highlight w:val="none"/>
        </w:rPr>
        <w:t>管</w:t>
      </w:r>
      <w:bookmarkStart w:id="0" w:name="_GoBack"/>
      <w:bookmarkEnd w:id="0"/>
      <w:r>
        <w:rPr>
          <w:rFonts w:hint="eastAsia" w:ascii="方正小标宋_GBK" w:hAnsi="方正小标宋_GBK" w:eastAsia="方正小标宋_GBK" w:cs="方正小标宋_GBK"/>
          <w:b w:val="0"/>
          <w:bCs/>
          <w:sz w:val="44"/>
          <w:szCs w:val="44"/>
          <w:highlight w:val="none"/>
        </w:rPr>
        <w:t>理情况报告</w:t>
      </w:r>
    </w:p>
    <w:p w14:paraId="15C6FCA5">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highlight w:val="none"/>
        </w:rPr>
      </w:pPr>
    </w:p>
    <w:p w14:paraId="79086999">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2025年，我局深入学习贯彻习近平法治思想，紧扣“放管服”改革主线，规范行政许可行为，强化全流程监管，切实保障公民、法人和其他组织合法权益，为辖区人社事业高质量发展提供法治保障。根据相关法律法规及上级要求，现将本年度行政许可实施和监督管理情况报告如下：</w:t>
      </w:r>
    </w:p>
    <w:p w14:paraId="249B6F6F">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黑体" w:hAnsi="黑体" w:eastAsia="黑体"/>
          <w:sz w:val="32"/>
          <w:szCs w:val="32"/>
          <w:highlight w:val="none"/>
        </w:rPr>
      </w:pPr>
      <w:r>
        <w:rPr>
          <w:rFonts w:hint="eastAsia" w:ascii="黑体" w:hAnsi="黑体" w:eastAsia="黑体"/>
          <w:sz w:val="32"/>
          <w:szCs w:val="32"/>
          <w:highlight w:val="none"/>
        </w:rPr>
        <w:t>一、基本情况</w:t>
      </w:r>
    </w:p>
    <w:p w14:paraId="22DEC3D4">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我局严格对照国家、省、市行政许可事项清单，明确职责范围内行政许可事项共5项，全部进驻广东政务服务网，具体包括：</w:t>
      </w:r>
      <w:r>
        <w:rPr>
          <w:rFonts w:hint="default" w:ascii="Times New Roman" w:hAnsi="Times New Roman" w:eastAsia="仿宋_GB2312" w:cs="Times New Roman"/>
          <w:b w:val="0"/>
          <w:bCs w:val="0"/>
          <w:color w:val="auto"/>
          <w:sz w:val="32"/>
          <w:szCs w:val="32"/>
          <w:highlight w:val="none"/>
          <w:lang w:val="en-US" w:eastAsia="zh-CN"/>
        </w:rPr>
        <w:t>企业实行不定时工作制和综合工时工作制审批</w:t>
      </w:r>
      <w:r>
        <w:rPr>
          <w:rFonts w:hint="eastAsia" w:ascii="仿宋_GB2312" w:eastAsia="仿宋_GB2312"/>
          <w:sz w:val="32"/>
          <w:szCs w:val="32"/>
          <w:highlight w:val="none"/>
          <w:lang w:val="en-US" w:eastAsia="zh-CN"/>
        </w:rPr>
        <w:t>、劳务派遣经营许可、人力资源服务许可、民办职业培训学校新设立、变更审批。</w:t>
      </w:r>
    </w:p>
    <w:p w14:paraId="6954FDB7">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本年度共受理行政许可</w:t>
      </w:r>
      <w:r>
        <w:rPr>
          <w:rFonts w:hint="eastAsia" w:ascii="仿宋_GB2312" w:hAnsi="仿宋_GB2312" w:eastAsia="仿宋_GB2312" w:cs="仿宋_GB2312"/>
          <w:sz w:val="32"/>
          <w:szCs w:val="32"/>
          <w:highlight w:val="none"/>
          <w:lang w:val="en-US" w:eastAsia="zh-CN"/>
        </w:rPr>
        <w:t>申请461宗，办结461宗，办结率100%。其中，</w:t>
      </w:r>
      <w:r>
        <w:rPr>
          <w:rFonts w:hint="eastAsia" w:ascii="仿宋_GB2312" w:hAnsi="仿宋_GB2312" w:eastAsia="仿宋_GB2312" w:cs="仿宋_GB2312"/>
          <w:b w:val="0"/>
          <w:bCs w:val="0"/>
          <w:color w:val="auto"/>
          <w:sz w:val="32"/>
          <w:szCs w:val="32"/>
          <w:highlight w:val="none"/>
          <w:lang w:val="en-US" w:eastAsia="zh-CN"/>
        </w:rPr>
        <w:t>企业实行不定时工作制和综合工时工作制审批117宗</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劳务派遣经营许可245宗</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人力资源服务许可82宗</w:t>
      </w:r>
      <w:r>
        <w:rPr>
          <w:rFonts w:hint="eastAsia" w:ascii="仿宋_GB2312" w:hAnsi="仿宋_GB2312" w:eastAsia="仿宋_GB2312" w:cs="仿宋_GB2312"/>
          <w:sz w:val="32"/>
          <w:szCs w:val="32"/>
          <w:highlight w:val="none"/>
          <w:lang w:val="en-US" w:eastAsia="zh-CN"/>
        </w:rPr>
        <w:t>、民办</w:t>
      </w:r>
      <w:r>
        <w:rPr>
          <w:rFonts w:hint="eastAsia" w:ascii="仿宋_GB2312" w:hAnsi="仿宋_GB2312" w:eastAsia="仿宋_GB2312" w:cs="仿宋_GB2312"/>
          <w:b w:val="0"/>
          <w:bCs w:val="0"/>
          <w:color w:val="auto"/>
          <w:sz w:val="32"/>
          <w:szCs w:val="32"/>
          <w:highlight w:val="none"/>
          <w:lang w:val="en-US" w:eastAsia="zh-CN"/>
        </w:rPr>
        <w:t>职业培训学校办学</w:t>
      </w:r>
      <w:r>
        <w:rPr>
          <w:rFonts w:hint="eastAsia" w:ascii="仿宋_GB2312" w:hAnsi="仿宋_GB2312" w:eastAsia="仿宋_GB2312" w:cs="仿宋_GB2312"/>
          <w:sz w:val="32"/>
          <w:szCs w:val="32"/>
          <w:highlight w:val="none"/>
          <w:lang w:val="en-US" w:eastAsia="zh-CN"/>
        </w:rPr>
        <w:t>新设立、变更许可共</w:t>
      </w:r>
      <w:r>
        <w:rPr>
          <w:rFonts w:hint="eastAsia" w:ascii="仿宋_GB2312" w:hAnsi="仿宋_GB2312" w:eastAsia="仿宋_GB2312" w:cs="仿宋_GB2312"/>
          <w:b w:val="0"/>
          <w:bCs w:val="0"/>
          <w:color w:val="auto"/>
          <w:sz w:val="32"/>
          <w:szCs w:val="32"/>
          <w:highlight w:val="none"/>
          <w:lang w:val="en-US" w:eastAsia="zh-CN"/>
        </w:rPr>
        <w:t>17宗</w:t>
      </w:r>
      <w:r>
        <w:rPr>
          <w:rFonts w:hint="eastAsia" w:ascii="仿宋_GB2312" w:hAnsi="仿宋_GB2312" w:eastAsia="仿宋_GB2312" w:cs="仿宋_GB2312"/>
          <w:sz w:val="32"/>
          <w:szCs w:val="32"/>
          <w:highlight w:val="none"/>
          <w:lang w:val="en-US" w:eastAsia="zh-CN"/>
        </w:rPr>
        <w:t>。</w:t>
      </w:r>
      <w:r>
        <w:rPr>
          <w:rFonts w:hint="eastAsia" w:ascii="仿宋_GB2312" w:eastAsia="仿宋_GB2312"/>
          <w:sz w:val="32"/>
          <w:szCs w:val="32"/>
          <w:highlight w:val="none"/>
          <w:lang w:val="en-US" w:eastAsia="zh-CN"/>
        </w:rPr>
        <w:t>所有办结事项均规范留存档案，审批结果合规可追溯。</w:t>
      </w:r>
    </w:p>
    <w:p w14:paraId="4452E6D2">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eastAsia="仿宋_GB2312"/>
          <w:sz w:val="32"/>
          <w:szCs w:val="32"/>
          <w:highlight w:val="none"/>
          <w:lang w:val="en-US" w:eastAsia="zh-CN"/>
        </w:rPr>
      </w:pPr>
      <w:r>
        <w:rPr>
          <w:rFonts w:hint="eastAsia" w:ascii="楷体_GB2312" w:hAnsi="楷体" w:eastAsia="楷体_GB2312"/>
          <w:b/>
          <w:sz w:val="32"/>
          <w:szCs w:val="32"/>
          <w:highlight w:val="none"/>
          <w:lang w:val="en-US" w:eastAsia="zh-CN"/>
        </w:rPr>
        <w:t xml:space="preserve">    （一）</w:t>
      </w:r>
      <w:r>
        <w:rPr>
          <w:rFonts w:hint="eastAsia" w:ascii="楷体_GB2312" w:hAnsi="楷体" w:eastAsia="楷体_GB2312"/>
          <w:b/>
          <w:sz w:val="32"/>
          <w:szCs w:val="32"/>
          <w:highlight w:val="none"/>
        </w:rPr>
        <w:t>依法实施情况。</w:t>
      </w:r>
      <w:r>
        <w:rPr>
          <w:rFonts w:hint="eastAsia" w:ascii="仿宋_GB2312" w:eastAsia="仿宋_GB2312"/>
          <w:sz w:val="32"/>
          <w:szCs w:val="32"/>
          <w:highlight w:val="none"/>
          <w:lang w:val="en-US" w:eastAsia="zh-CN"/>
        </w:rPr>
        <w:t>2025</w:t>
      </w:r>
      <w:r>
        <w:rPr>
          <w:rFonts w:hint="eastAsia" w:ascii="仿宋_GB2312" w:eastAsia="仿宋_GB2312"/>
          <w:sz w:val="32"/>
          <w:szCs w:val="32"/>
          <w:highlight w:val="none"/>
        </w:rPr>
        <w:t>年，我局严格按照法律法规规章的要求办理行政许可业务，所有行政许可业务均在法定期限内办结，不存在超范围实施情况。严格执行一次性告知、容缺受理、告知承诺制等行政许可的配套制度，并不断优化内部审批流程，简化材料、压减审批时限，深化“不见面审批”改革。202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年，我局行政许可事项总法定办结时限240个工作日，承诺办结时限5个工作日，时限压缩率达97.9%，其中劳务派遣经营许可法定办结期限是20个工作日，承诺办结时间是1个工作日，时限压缩率达95%；企业实行不定时工作制和综合计算工时工作制审批法定办结期限是20个工作日，承诺办结时间是1个工作日，时限压缩率达95%；人力资源服务许可审批法定办结期限为20个工作日，承诺办结时间是1个工作日，时限压缩率达95%；民办职业培训学校新设立审批、民办职业培训学校的变更审批法定办结期限均是90个工作日，承诺办结时间均是1个工作日，时限压缩率均达98.9%</w:t>
      </w:r>
      <w:r>
        <w:rPr>
          <w:rFonts w:hint="eastAsia" w:ascii="仿宋_GB2312" w:eastAsia="仿宋_GB2312"/>
          <w:sz w:val="32"/>
          <w:szCs w:val="32"/>
          <w:highlight w:val="none"/>
          <w:lang w:eastAsia="zh-CN"/>
        </w:rPr>
        <w:t>。</w:t>
      </w:r>
    </w:p>
    <w:p w14:paraId="331D1B6B">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default" w:ascii="仿宋_GB2312" w:hAnsi="仿宋" w:eastAsia="仿宋_GB2312" w:cs="仿宋_GB2312"/>
          <w:sz w:val="32"/>
          <w:szCs w:val="32"/>
          <w:lang w:val="en-US" w:eastAsia="zh-CN"/>
        </w:rPr>
      </w:pPr>
      <w:r>
        <w:rPr>
          <w:rFonts w:hint="eastAsia" w:ascii="楷体_GB2312" w:hAnsi="楷体" w:eastAsia="楷体_GB2312"/>
          <w:b/>
          <w:sz w:val="32"/>
          <w:szCs w:val="32"/>
          <w:lang w:val="en-US" w:eastAsia="zh-CN"/>
        </w:rPr>
        <w:t xml:space="preserve">    </w:t>
      </w:r>
      <w:r>
        <w:rPr>
          <w:rFonts w:ascii="楷体_GB2312" w:hAnsi="楷体" w:eastAsia="楷体_GB2312"/>
          <w:b/>
          <w:sz w:val="32"/>
          <w:szCs w:val="32"/>
        </w:rPr>
        <w:t>（二）公开公示情况。</w:t>
      </w:r>
      <w:r>
        <w:rPr>
          <w:rFonts w:hint="eastAsia" w:ascii="仿宋_GB2312" w:hAnsi="仿宋" w:eastAsia="仿宋_GB2312" w:cs="仿宋_GB2312"/>
          <w:sz w:val="32"/>
          <w:szCs w:val="32"/>
          <w:lang w:val="en-US" w:eastAsia="zh-CN"/>
        </w:rPr>
        <w:t>2025年度，我局5个行政审批事项的申请条件、申请材料以及范本、投诉方式持续公开在广东政务服务网，所有文本格式完备，零收费，可供自由下载。</w:t>
      </w:r>
    </w:p>
    <w:p w14:paraId="57EB5A2E">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highlight w:val="none"/>
        </w:rPr>
      </w:pPr>
      <w:r>
        <w:rPr>
          <w:rFonts w:hint="eastAsia" w:ascii="仿宋_GB2312" w:hAnsi="仿宋" w:eastAsia="仿宋_GB2312" w:cs="仿宋_GB2312"/>
          <w:sz w:val="32"/>
          <w:szCs w:val="32"/>
          <w:highlight w:val="none"/>
        </w:rPr>
        <w:t>依据《广州市信用办关于印发广州市行政许可和行政处罚等信用信息公示工作方案的通知》和《广州市信用办转发关于进一步规范行政许可和行政处罚等信用信息公示工作的通知》等文件</w:t>
      </w:r>
      <w:r>
        <w:rPr>
          <w:rFonts w:hint="eastAsia" w:ascii="仿宋_GB2312" w:hAnsi="仿宋" w:eastAsia="仿宋_GB2312" w:cs="仿宋_GB2312"/>
          <w:sz w:val="32"/>
          <w:szCs w:val="32"/>
          <w:highlight w:val="none"/>
          <w:lang w:eastAsia="zh-CN"/>
        </w:rPr>
        <w:t>精神，2025</w:t>
      </w:r>
      <w:r>
        <w:rPr>
          <w:rFonts w:hint="eastAsia" w:ascii="仿宋_GB2312" w:hAnsi="仿宋" w:eastAsia="仿宋_GB2312" w:cs="仿宋_GB2312"/>
          <w:sz w:val="32"/>
          <w:szCs w:val="32"/>
          <w:highlight w:val="none"/>
          <w:lang w:val="en-US" w:eastAsia="zh-CN"/>
        </w:rPr>
        <w:t>年度，</w:t>
      </w:r>
      <w:r>
        <w:rPr>
          <w:rFonts w:hint="eastAsia" w:ascii="仿宋_GB2312" w:hAnsi="仿宋" w:eastAsia="仿宋_GB2312" w:cs="仿宋_GB2312"/>
          <w:sz w:val="32"/>
          <w:szCs w:val="32"/>
          <w:highlight w:val="none"/>
        </w:rPr>
        <w:t>我局</w:t>
      </w:r>
      <w:r>
        <w:rPr>
          <w:rFonts w:hint="eastAsia" w:ascii="仿宋_GB2312" w:eastAsia="仿宋_GB2312"/>
          <w:sz w:val="32"/>
          <w:szCs w:val="32"/>
          <w:highlight w:val="none"/>
          <w:lang w:val="en-US" w:eastAsia="zh-CN"/>
        </w:rPr>
        <w:t>461</w:t>
      </w:r>
      <w:r>
        <w:rPr>
          <w:rFonts w:hint="eastAsia" w:ascii="仿宋_GB2312" w:hAnsi="仿宋" w:eastAsia="仿宋_GB2312" w:cs="仿宋_GB2312"/>
          <w:sz w:val="32"/>
          <w:szCs w:val="32"/>
          <w:highlight w:val="none"/>
        </w:rPr>
        <w:t>宗行政许可均</w:t>
      </w:r>
      <w:r>
        <w:rPr>
          <w:rFonts w:hint="eastAsia" w:ascii="仿宋_GB2312" w:hAnsi="仿宋" w:eastAsia="仿宋_GB2312" w:cs="仿宋_GB2312"/>
          <w:sz w:val="32"/>
          <w:szCs w:val="32"/>
          <w:highlight w:val="none"/>
          <w:lang w:val="en-US" w:eastAsia="zh-CN"/>
        </w:rPr>
        <w:t>坚持</w:t>
      </w:r>
      <w:r>
        <w:rPr>
          <w:rFonts w:ascii="仿宋_GB2312" w:hAnsi="仿宋" w:eastAsia="仿宋_GB2312" w:cs="仿宋_GB2312"/>
          <w:sz w:val="32"/>
          <w:szCs w:val="32"/>
          <w:highlight w:val="none"/>
        </w:rPr>
        <w:t>7</w:t>
      </w:r>
      <w:r>
        <w:rPr>
          <w:rFonts w:hint="eastAsia" w:ascii="仿宋_GB2312" w:hAnsi="仿宋" w:eastAsia="仿宋_GB2312" w:cs="仿宋_GB2312"/>
          <w:sz w:val="32"/>
          <w:szCs w:val="32"/>
          <w:highlight w:val="none"/>
        </w:rPr>
        <w:t>个工作日内在信用广州网上公示，</w:t>
      </w:r>
      <w:r>
        <w:rPr>
          <w:rFonts w:hint="eastAsia" w:ascii="仿宋_GB2312" w:hAnsi="仿宋" w:eastAsia="仿宋_GB2312" w:cs="仿宋_GB2312"/>
          <w:sz w:val="32"/>
          <w:szCs w:val="32"/>
          <w:highlight w:val="none"/>
          <w:lang w:val="en-US" w:eastAsia="zh-CN"/>
        </w:rPr>
        <w:t>并</w:t>
      </w:r>
      <w:r>
        <w:rPr>
          <w:rFonts w:hint="eastAsia" w:ascii="仿宋_GB2312" w:hAnsi="仿宋" w:eastAsia="仿宋_GB2312" w:cs="仿宋_GB2312"/>
          <w:sz w:val="32"/>
          <w:szCs w:val="32"/>
          <w:highlight w:val="none"/>
        </w:rPr>
        <w:t>在区政府官网人社局信息公开专栏</w:t>
      </w:r>
      <w:r>
        <w:rPr>
          <w:rFonts w:hint="eastAsia" w:ascii="仿宋_GB2312" w:hAnsi="仿宋" w:eastAsia="仿宋_GB2312" w:cs="仿宋_GB2312"/>
          <w:sz w:val="32"/>
          <w:szCs w:val="32"/>
          <w:highlight w:val="none"/>
          <w:lang w:val="en-US" w:eastAsia="zh-CN"/>
        </w:rPr>
        <w:t>实行</w:t>
      </w:r>
      <w:r>
        <w:rPr>
          <w:rFonts w:hint="eastAsia" w:ascii="仿宋_GB2312" w:hAnsi="仿宋" w:eastAsia="仿宋_GB2312" w:cs="仿宋_GB2312"/>
          <w:sz w:val="32"/>
          <w:szCs w:val="32"/>
          <w:highlight w:val="none"/>
        </w:rPr>
        <w:t>同步公示</w:t>
      </w:r>
      <w:r>
        <w:rPr>
          <w:rFonts w:hint="eastAsia" w:ascii="仿宋_GB2312" w:hAnsi="仿宋" w:eastAsia="仿宋_GB2312" w:cs="仿宋_GB2312"/>
          <w:sz w:val="32"/>
          <w:szCs w:val="32"/>
          <w:highlight w:val="none"/>
          <w:lang w:eastAsia="zh-CN"/>
        </w:rPr>
        <w:t>。</w:t>
      </w:r>
      <w:r>
        <w:rPr>
          <w:rFonts w:hint="eastAsia" w:ascii="仿宋_GB2312" w:hAnsi="仿宋" w:eastAsia="仿宋_GB2312" w:cs="仿宋_GB2312"/>
          <w:sz w:val="32"/>
          <w:szCs w:val="32"/>
          <w:highlight w:val="none"/>
          <w:lang w:val="en-US" w:eastAsia="zh-CN"/>
        </w:rPr>
        <w:t>公示内容包括被许可主体、其法定代表人、被许可事项、许可决定期以及有效期等。</w:t>
      </w:r>
    </w:p>
    <w:p w14:paraId="6D3EAEE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楷体_GB2312" w:hAnsi="楷体" w:eastAsia="楷体_GB2312"/>
          <w:b/>
          <w:sz w:val="32"/>
          <w:szCs w:val="32"/>
          <w:highlight w:val="none"/>
        </w:rPr>
      </w:pPr>
      <w:r>
        <w:rPr>
          <w:rFonts w:ascii="楷体_GB2312" w:hAnsi="楷体" w:eastAsia="楷体_GB2312"/>
          <w:b/>
          <w:sz w:val="32"/>
          <w:szCs w:val="32"/>
          <w:highlight w:val="none"/>
        </w:rPr>
        <w:t>（三）</w:t>
      </w:r>
      <w:r>
        <w:rPr>
          <w:rFonts w:hint="eastAsia" w:ascii="楷体_GB2312" w:hAnsi="楷体" w:eastAsia="楷体_GB2312"/>
          <w:b/>
          <w:sz w:val="32"/>
          <w:szCs w:val="32"/>
          <w:highlight w:val="none"/>
          <w:lang w:val="en-US" w:eastAsia="zh-CN"/>
        </w:rPr>
        <w:t>监督管理</w:t>
      </w:r>
      <w:r>
        <w:rPr>
          <w:rFonts w:ascii="楷体_GB2312" w:hAnsi="楷体" w:eastAsia="楷体_GB2312"/>
          <w:b/>
          <w:sz w:val="32"/>
          <w:szCs w:val="32"/>
          <w:highlight w:val="none"/>
        </w:rPr>
        <w:t>情况。</w:t>
      </w:r>
      <w:r>
        <w:rPr>
          <w:rFonts w:hint="eastAsia" w:ascii="仿宋_GB2312" w:hAnsi="仿宋_GB2312" w:eastAsia="仿宋_GB2312" w:cs="仿宋_GB2312"/>
          <w:b/>
          <w:bCs/>
          <w:sz w:val="32"/>
          <w:szCs w:val="32"/>
          <w:highlight w:val="none"/>
          <w:lang w:val="en-US" w:eastAsia="zh-CN"/>
        </w:rPr>
        <w:t>一是</w:t>
      </w:r>
      <w:r>
        <w:rPr>
          <w:rFonts w:hint="eastAsia" w:ascii="仿宋_GB2312" w:hAnsi="仿宋_GB2312" w:eastAsia="仿宋_GB2312" w:cs="仿宋_GB2312"/>
          <w:sz w:val="32"/>
          <w:szCs w:val="32"/>
          <w:highlight w:val="none"/>
          <w:lang w:eastAsia="zh-CN"/>
        </w:rPr>
        <w:t>在</w:t>
      </w:r>
      <w:r>
        <w:rPr>
          <w:rFonts w:hint="eastAsia" w:ascii="仿宋_GB2312" w:hAnsi="仿宋_GB2312" w:eastAsia="仿宋_GB2312" w:cs="仿宋_GB2312"/>
          <w:sz w:val="32"/>
          <w:szCs w:val="32"/>
          <w:highlight w:val="none"/>
          <w:lang w:val="en-US" w:eastAsia="zh-CN"/>
        </w:rPr>
        <w:t>2025年期间，我局如期对全区的人力资源服务机构和劳务派遣机构开展年检工作，审核其经营、实际经营场所、人员变动和缴税等情况是否符合法定要求。</w:t>
      </w:r>
      <w:r>
        <w:rPr>
          <w:rFonts w:hint="eastAsia" w:ascii="仿宋_GB2312" w:hAnsi="仿宋_GB2312" w:eastAsia="仿宋_GB2312" w:cs="仿宋_GB2312"/>
          <w:b/>
          <w:bCs/>
          <w:sz w:val="32"/>
          <w:szCs w:val="32"/>
          <w:highlight w:val="none"/>
          <w:lang w:val="en-US" w:eastAsia="zh-CN"/>
        </w:rPr>
        <w:t>二是</w:t>
      </w:r>
      <w:r>
        <w:rPr>
          <w:rFonts w:hint="eastAsia" w:ascii="仿宋_GB2312" w:hAnsi="仿宋_GB2312" w:eastAsia="仿宋_GB2312" w:cs="仿宋_GB2312"/>
          <w:sz w:val="32"/>
          <w:szCs w:val="32"/>
          <w:highlight w:val="none"/>
          <w:lang w:val="en-US" w:eastAsia="zh-CN"/>
        </w:rPr>
        <w:t>不定期开展抽查监管，依托全国根治欠薪线索反映平台、广州市根治欠薪“码”上办平台筛选出12家欠薪线索高发频发的人力资源服务企业及劳务派遣单位，并联合区市场监管局对12家重点企业遵守《</w:t>
      </w:r>
      <w:r>
        <w:rPr>
          <w:rFonts w:hint="eastAsia" w:ascii="仿宋_GB2312" w:hAnsi="仿宋_GB2312" w:eastAsia="仿宋_GB2312" w:cs="仿宋_GB2312"/>
          <w:sz w:val="32"/>
          <w:szCs w:val="32"/>
          <w:highlight w:val="none"/>
          <w:lang w:eastAsia="zh-CN"/>
        </w:rPr>
        <w:t>中华人民共和国</w:t>
      </w:r>
      <w:r>
        <w:rPr>
          <w:rFonts w:hint="eastAsia" w:ascii="仿宋_GB2312" w:hAnsi="仿宋_GB2312" w:eastAsia="仿宋_GB2312" w:cs="仿宋_GB2312"/>
          <w:sz w:val="32"/>
          <w:szCs w:val="32"/>
          <w:highlight w:val="none"/>
          <w:lang w:val="en-US" w:eastAsia="zh-CN"/>
        </w:rPr>
        <w:t>劳动法》《就业促进法》《</w:t>
      </w:r>
      <w:r>
        <w:rPr>
          <w:rFonts w:hint="eastAsia" w:ascii="仿宋_GB2312" w:hAnsi="仿宋_GB2312" w:eastAsia="仿宋_GB2312" w:cs="仿宋_GB2312"/>
          <w:sz w:val="32"/>
          <w:szCs w:val="32"/>
          <w:highlight w:val="none"/>
          <w:lang w:eastAsia="zh-CN"/>
        </w:rPr>
        <w:t>中华人民共和国</w:t>
      </w:r>
      <w:r>
        <w:rPr>
          <w:rFonts w:hint="eastAsia" w:ascii="仿宋_GB2312" w:hAnsi="仿宋_GB2312" w:eastAsia="仿宋_GB2312" w:cs="仿宋_GB2312"/>
          <w:sz w:val="32"/>
          <w:szCs w:val="32"/>
          <w:highlight w:val="none"/>
          <w:lang w:val="en-US" w:eastAsia="zh-CN"/>
        </w:rPr>
        <w:t>劳动合同法》《人力资源市场暂行条例》《禁止使用童工规定》等劳动保障法律法规落实情况进行细致核查。经检查，有3家人力资源服务机构注册地址现场无企业且无法联系，9家人力资源服务机构及劳务派遣机构未发现违法行为。</w:t>
      </w:r>
    </w:p>
    <w:p w14:paraId="3B46B4AD">
      <w:pPr>
        <w:spacing w:line="540" w:lineRule="exact"/>
        <w:ind w:firstLine="643" w:firstLineChars="200"/>
        <w:rPr>
          <w:rFonts w:ascii="楷体_GB2312" w:hAnsi="楷体" w:eastAsia="楷体_GB2312"/>
          <w:b/>
          <w:sz w:val="32"/>
          <w:szCs w:val="32"/>
        </w:rPr>
      </w:pPr>
      <w:r>
        <w:rPr>
          <w:rFonts w:ascii="楷体_GB2312" w:hAnsi="楷体" w:eastAsia="楷体_GB2312"/>
          <w:b/>
          <w:sz w:val="32"/>
          <w:szCs w:val="32"/>
          <w:highlight w:val="none"/>
        </w:rPr>
        <w:t>（四）实施效果情况。</w:t>
      </w:r>
      <w:r>
        <w:rPr>
          <w:rFonts w:hint="eastAsia" w:ascii="仿宋_GB2312" w:eastAsia="仿宋_GB2312"/>
          <w:sz w:val="32"/>
          <w:szCs w:val="32"/>
          <w:highlight w:val="none"/>
          <w:lang w:val="en-US" w:eastAsia="zh-CN"/>
        </w:rPr>
        <w:t>2025年，我局办理的行政许可审批件均按时高效办结，行政相对人的认可度和满意度较高，无收到相关投诉，达到了</w:t>
      </w:r>
      <w:r>
        <w:rPr>
          <w:rFonts w:ascii="仿宋_GB2312" w:eastAsia="仿宋_GB2312"/>
          <w:sz w:val="32"/>
          <w:szCs w:val="32"/>
          <w:highlight w:val="none"/>
        </w:rPr>
        <w:t>设立行政许可</w:t>
      </w:r>
      <w:r>
        <w:rPr>
          <w:rFonts w:hint="eastAsia" w:ascii="仿宋_GB2312" w:eastAsia="仿宋_GB2312"/>
          <w:sz w:val="32"/>
          <w:szCs w:val="32"/>
          <w:highlight w:val="none"/>
          <w:lang w:eastAsia="zh-CN"/>
        </w:rPr>
        <w:t>的</w:t>
      </w:r>
      <w:r>
        <w:rPr>
          <w:rFonts w:ascii="仿宋_GB2312" w:eastAsia="仿宋_GB2312"/>
          <w:sz w:val="32"/>
          <w:szCs w:val="32"/>
          <w:highlight w:val="none"/>
        </w:rPr>
        <w:t>预期目的和效果</w:t>
      </w:r>
      <w:r>
        <w:rPr>
          <w:rFonts w:hint="eastAsia" w:ascii="仿宋_GB2312" w:eastAsia="仿宋_GB2312"/>
          <w:sz w:val="32"/>
          <w:szCs w:val="32"/>
          <w:highlight w:val="none"/>
          <w:lang w:eastAsia="zh-CN"/>
        </w:rPr>
        <w:t>；在规范市场和社会秩序、推动经济社会健康快速发展、提高经济和社会效益等方面</w:t>
      </w:r>
      <w:r>
        <w:rPr>
          <w:rFonts w:hint="eastAsia" w:ascii="仿宋_GB2312" w:eastAsia="仿宋_GB2312"/>
          <w:sz w:val="32"/>
          <w:szCs w:val="32"/>
          <w:highlight w:val="none"/>
          <w:lang w:val="en-US" w:eastAsia="zh-CN"/>
        </w:rPr>
        <w:t>均</w:t>
      </w:r>
      <w:r>
        <w:rPr>
          <w:rFonts w:hint="eastAsia" w:ascii="仿宋_GB2312" w:eastAsia="仿宋_GB2312"/>
          <w:sz w:val="32"/>
          <w:szCs w:val="32"/>
          <w:highlight w:val="none"/>
          <w:lang w:eastAsia="zh-CN"/>
        </w:rPr>
        <w:t>取得</w:t>
      </w:r>
      <w:r>
        <w:rPr>
          <w:rFonts w:hint="eastAsia" w:ascii="仿宋_GB2312" w:eastAsia="仿宋_GB2312"/>
          <w:sz w:val="32"/>
          <w:szCs w:val="32"/>
          <w:highlight w:val="none"/>
          <w:lang w:val="en-US" w:eastAsia="zh-CN"/>
        </w:rPr>
        <w:t>切实成效。</w:t>
      </w:r>
    </w:p>
    <w:p w14:paraId="652AE5CE">
      <w:pPr>
        <w:spacing w:line="540" w:lineRule="exact"/>
        <w:ind w:firstLine="643" w:firstLineChars="200"/>
        <w:rPr>
          <w:rFonts w:hint="default" w:ascii="楷体_GB2312" w:hAnsi="楷体" w:eastAsia="楷体_GB2312"/>
          <w:b w:val="0"/>
          <w:bCs w:val="0"/>
          <w:sz w:val="32"/>
          <w:szCs w:val="32"/>
          <w:highlight w:val="none"/>
          <w:lang w:val="en-US" w:eastAsia="zh-CN"/>
        </w:rPr>
      </w:pPr>
      <w:r>
        <w:rPr>
          <w:rFonts w:ascii="楷体_GB2312" w:hAnsi="楷体" w:eastAsia="楷体_GB2312"/>
          <w:b/>
          <w:sz w:val="32"/>
          <w:szCs w:val="32"/>
          <w:highlight w:val="none"/>
        </w:rPr>
        <w:t>（五）创新方式情况。</w:t>
      </w:r>
      <w:r>
        <w:rPr>
          <w:rFonts w:hint="eastAsia" w:ascii="仿宋_GB2312" w:hAnsi="仿宋" w:eastAsia="仿宋_GB2312" w:cs="仿宋_GB2312"/>
          <w:b/>
          <w:bCs/>
          <w:sz w:val="32"/>
          <w:szCs w:val="32"/>
          <w:highlight w:val="none"/>
          <w:lang w:val="en-US" w:eastAsia="zh-CN"/>
        </w:rPr>
        <w:t>一是</w:t>
      </w:r>
      <w:r>
        <w:rPr>
          <w:rFonts w:hint="eastAsia" w:ascii="仿宋_GB2312" w:hAnsi="仿宋" w:eastAsia="仿宋_GB2312" w:cs="仿宋_GB2312"/>
          <w:b w:val="0"/>
          <w:bCs w:val="0"/>
          <w:sz w:val="32"/>
          <w:szCs w:val="32"/>
          <w:highlight w:val="none"/>
          <w:lang w:val="en-US" w:eastAsia="zh-CN"/>
        </w:rPr>
        <w:t>严格实行受理与审核分离的办理模式，扩大行政许可的受理范围，减少行政许可审批过程中的自由裁量权。只要材料齐全，符合受理条件的，一律接受申请人的申请，再由负责审核的人员对申请材料具体内容进行把关。</w:t>
      </w:r>
      <w:r>
        <w:rPr>
          <w:rFonts w:hint="eastAsia" w:ascii="仿宋_GB2312" w:hAnsi="仿宋" w:eastAsia="仿宋_GB2312" w:cs="仿宋_GB2312"/>
          <w:b/>
          <w:bCs/>
          <w:sz w:val="32"/>
          <w:szCs w:val="32"/>
          <w:highlight w:val="none"/>
          <w:lang w:val="en-US" w:eastAsia="zh-CN"/>
        </w:rPr>
        <w:t>二是</w:t>
      </w:r>
      <w:r>
        <w:rPr>
          <w:rFonts w:hint="eastAsia" w:ascii="仿宋_GB2312" w:hAnsi="仿宋" w:eastAsia="仿宋_GB2312" w:cs="仿宋_GB2312"/>
          <w:b w:val="0"/>
          <w:bCs w:val="0"/>
          <w:sz w:val="32"/>
          <w:szCs w:val="32"/>
          <w:highlight w:val="none"/>
          <w:lang w:val="en-US" w:eastAsia="zh-CN"/>
        </w:rPr>
        <w:t>响应国家优化营商环境的要求，降低准入门槛。将申请材料的实质性审核集中于书面审理，只要申请人所提交的材料具备审核标准的各项要素，我局即作出批准决定，极大地提高了审核的效率，减轻了申请人的负担。</w:t>
      </w:r>
      <w:r>
        <w:rPr>
          <w:rFonts w:hint="eastAsia" w:ascii="仿宋_GB2312" w:hAnsi="仿宋" w:eastAsia="仿宋_GB2312" w:cs="仿宋_GB2312"/>
          <w:b/>
          <w:bCs/>
          <w:sz w:val="32"/>
          <w:szCs w:val="32"/>
          <w:highlight w:val="none"/>
          <w:lang w:val="en-US" w:eastAsia="zh-CN"/>
        </w:rPr>
        <w:t>三是</w:t>
      </w:r>
      <w:r>
        <w:rPr>
          <w:rFonts w:hint="eastAsia" w:ascii="仿宋_GB2312" w:hAnsi="仿宋" w:eastAsia="仿宋_GB2312" w:cs="仿宋_GB2312"/>
          <w:b w:val="0"/>
          <w:bCs w:val="0"/>
          <w:sz w:val="32"/>
          <w:szCs w:val="32"/>
          <w:highlight w:val="none"/>
          <w:lang w:val="en-US" w:eastAsia="zh-CN"/>
        </w:rPr>
        <w:t>坚持行政许可的全流程网办。行政许可的申请和审批的全流程均可在网上进行操作，申请人最多到现场一次便能取证。</w:t>
      </w:r>
    </w:p>
    <w:p w14:paraId="69A2599F">
      <w:pPr>
        <w:keepNext w:val="0"/>
        <w:keepLines w:val="0"/>
        <w:pageBreakBefore w:val="0"/>
        <w:numPr>
          <w:ilvl w:val="0"/>
          <w:numId w:val="0"/>
        </w:numPr>
        <w:kinsoku/>
        <w:wordWrap/>
        <w:overflowPunct/>
        <w:topLinePunct w:val="0"/>
        <w:autoSpaceDE/>
        <w:autoSpaceDN/>
        <w:bidi w:val="0"/>
        <w:adjustRightInd/>
        <w:snapToGrid/>
        <w:spacing w:line="576" w:lineRule="exact"/>
        <w:ind w:firstLine="643" w:firstLineChars="200"/>
        <w:textAlignment w:val="auto"/>
        <w:rPr>
          <w:rFonts w:ascii="楷体_GB2312" w:hAnsi="楷体" w:eastAsia="楷体_GB2312"/>
          <w:b/>
          <w:sz w:val="32"/>
          <w:szCs w:val="32"/>
        </w:rPr>
      </w:pPr>
      <w:r>
        <w:rPr>
          <w:rFonts w:ascii="楷体_GB2312" w:hAnsi="楷体" w:eastAsia="楷体_GB2312"/>
          <w:b/>
          <w:sz w:val="32"/>
          <w:szCs w:val="32"/>
          <w:highlight w:val="none"/>
        </w:rPr>
        <w:t>（</w:t>
      </w:r>
      <w:r>
        <w:rPr>
          <w:rFonts w:hint="eastAsia" w:ascii="楷体_GB2312" w:hAnsi="楷体" w:eastAsia="楷体_GB2312"/>
          <w:b/>
          <w:sz w:val="32"/>
          <w:szCs w:val="32"/>
          <w:highlight w:val="none"/>
          <w:lang w:val="en-US" w:eastAsia="zh-CN"/>
        </w:rPr>
        <w:t>六</w:t>
      </w:r>
      <w:r>
        <w:rPr>
          <w:rFonts w:ascii="楷体_GB2312" w:hAnsi="楷体" w:eastAsia="楷体_GB2312"/>
          <w:b/>
          <w:sz w:val="32"/>
          <w:szCs w:val="32"/>
          <w:highlight w:val="none"/>
        </w:rPr>
        <w:t>）推行标准化情况。</w:t>
      </w:r>
      <w:r>
        <w:rPr>
          <w:rFonts w:hint="eastAsia" w:ascii="仿宋_GB2312" w:hAnsi="仿宋" w:eastAsia="仿宋_GB2312" w:cs="仿宋_GB2312"/>
          <w:b w:val="0"/>
          <w:bCs/>
          <w:sz w:val="32"/>
          <w:szCs w:val="32"/>
        </w:rPr>
        <w:t>我局</w:t>
      </w:r>
      <w:r>
        <w:rPr>
          <w:rFonts w:hint="eastAsia" w:ascii="仿宋_GB2312" w:hAnsi="仿宋" w:eastAsia="仿宋_GB2312" w:cs="仿宋_GB2312"/>
          <w:b w:val="0"/>
          <w:bCs/>
          <w:sz w:val="32"/>
          <w:szCs w:val="32"/>
          <w:lang w:val="en-US" w:eastAsia="zh-CN"/>
        </w:rPr>
        <w:t>的行政许可审</w:t>
      </w:r>
      <w:r>
        <w:rPr>
          <w:rFonts w:hint="eastAsia" w:ascii="仿宋_GB2312" w:hAnsi="仿宋" w:eastAsia="仿宋_GB2312" w:cs="仿宋_GB2312"/>
          <w:sz w:val="32"/>
          <w:szCs w:val="32"/>
          <w:lang w:val="en-US" w:eastAsia="zh-CN"/>
        </w:rPr>
        <w:t>批工作</w:t>
      </w:r>
      <w:r>
        <w:rPr>
          <w:rFonts w:hint="eastAsia" w:ascii="仿宋_GB2312" w:hAnsi="仿宋" w:eastAsia="仿宋_GB2312" w:cs="仿宋_GB2312"/>
          <w:sz w:val="32"/>
          <w:szCs w:val="32"/>
        </w:rPr>
        <w:t>严格</w:t>
      </w:r>
      <w:r>
        <w:rPr>
          <w:rFonts w:hint="eastAsia" w:ascii="仿宋_GB2312" w:hAnsi="仿宋" w:eastAsia="仿宋_GB2312" w:cs="仿宋_GB2312"/>
          <w:sz w:val="32"/>
          <w:szCs w:val="32"/>
          <w:lang w:val="en-US" w:eastAsia="zh-CN"/>
        </w:rPr>
        <w:t>按照</w:t>
      </w:r>
      <w:r>
        <w:rPr>
          <w:rFonts w:hint="eastAsia" w:ascii="仿宋_GB2312" w:hAnsi="仿宋" w:eastAsia="仿宋_GB2312" w:cs="仿宋_GB2312"/>
          <w:sz w:val="32"/>
          <w:szCs w:val="32"/>
        </w:rPr>
        <w:t>《</w:t>
      </w:r>
      <w:r>
        <w:rPr>
          <w:rFonts w:hint="eastAsia" w:ascii="仿宋_GB2312" w:hAnsi="仿宋" w:eastAsia="仿宋_GB2312" w:cs="仿宋_GB2312"/>
          <w:sz w:val="32"/>
          <w:szCs w:val="32"/>
          <w:lang w:val="en-US" w:eastAsia="zh-CN"/>
        </w:rPr>
        <w:t>广州市劳务派遣行政许可工作</w:t>
      </w:r>
      <w:r>
        <w:rPr>
          <w:rFonts w:hint="eastAsia" w:ascii="仿宋_GB2312" w:hAnsi="仿宋" w:eastAsia="仿宋_GB2312" w:cs="仿宋_GB2312"/>
          <w:sz w:val="32"/>
          <w:szCs w:val="32"/>
        </w:rPr>
        <w:t>手册》</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lang w:val="en-US" w:eastAsia="zh-CN"/>
        </w:rPr>
        <w:t>广州市人力资源和社会保障局转发关于做好人力资源服务行政许可及备案工作有关文件的通知</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《中华人民共和国民办教育促进法》</w:t>
      </w:r>
      <w:r>
        <w:rPr>
          <w:rFonts w:hint="eastAsia" w:ascii="仿宋_GB2312" w:hAnsi="仿宋" w:eastAsia="仿宋_GB2312" w:cs="仿宋_GB2312"/>
          <w:sz w:val="32"/>
          <w:szCs w:val="32"/>
          <w:lang w:val="en-US" w:eastAsia="zh-CN"/>
        </w:rPr>
        <w:t>等法律法规及相关文件进行落实。</w:t>
      </w:r>
      <w:r>
        <w:rPr>
          <w:rFonts w:hint="eastAsia" w:ascii="仿宋_GB2312" w:hAnsi="仿宋" w:eastAsia="仿宋_GB2312" w:cs="仿宋_GB2312"/>
          <w:b/>
          <w:bCs/>
          <w:sz w:val="32"/>
          <w:szCs w:val="32"/>
          <w:lang w:val="en-US" w:eastAsia="zh-CN"/>
        </w:rPr>
        <w:t>一是</w:t>
      </w:r>
      <w:r>
        <w:rPr>
          <w:rFonts w:hint="eastAsia" w:ascii="仿宋_GB2312" w:hAnsi="仿宋" w:eastAsia="仿宋_GB2312" w:cs="仿宋_GB2312"/>
          <w:b w:val="0"/>
          <w:bCs w:val="0"/>
          <w:sz w:val="32"/>
          <w:szCs w:val="32"/>
          <w:lang w:val="en-US" w:eastAsia="zh-CN"/>
        </w:rPr>
        <w:t>严格按照上述文件的要求</w:t>
      </w:r>
      <w:r>
        <w:rPr>
          <w:rFonts w:hint="eastAsia" w:ascii="仿宋_GB2312" w:hAnsi="仿宋" w:eastAsia="仿宋_GB2312" w:cs="仿宋_GB2312"/>
          <w:b w:val="0"/>
          <w:bCs w:val="0"/>
          <w:sz w:val="32"/>
          <w:szCs w:val="32"/>
          <w:highlight w:val="none"/>
          <w:lang w:val="en-US" w:eastAsia="zh-CN"/>
        </w:rPr>
        <w:t>，理清5</w:t>
      </w:r>
      <w:r>
        <w:rPr>
          <w:rFonts w:hint="eastAsia" w:ascii="仿宋_GB2312" w:hAnsi="仿宋" w:eastAsia="仿宋_GB2312" w:cs="仿宋_GB2312"/>
          <w:b w:val="0"/>
          <w:bCs w:val="0"/>
          <w:sz w:val="32"/>
          <w:szCs w:val="32"/>
          <w:lang w:val="en-US" w:eastAsia="zh-CN"/>
        </w:rPr>
        <w:t>个审批事项的申请条件、申请材料、办理期限、受理范围。</w:t>
      </w:r>
      <w:r>
        <w:rPr>
          <w:rFonts w:hint="eastAsia" w:ascii="仿宋_GB2312" w:hAnsi="仿宋" w:eastAsia="仿宋_GB2312" w:cs="仿宋_GB2312"/>
          <w:b/>
          <w:bCs/>
          <w:sz w:val="32"/>
          <w:szCs w:val="32"/>
          <w:lang w:val="en-US" w:eastAsia="zh-CN"/>
        </w:rPr>
        <w:t>二是</w:t>
      </w:r>
      <w:r>
        <w:rPr>
          <w:rFonts w:hint="eastAsia" w:ascii="仿宋_GB2312" w:hAnsi="仿宋" w:eastAsia="仿宋_GB2312" w:cs="仿宋_GB2312"/>
          <w:b w:val="0"/>
          <w:bCs w:val="0"/>
          <w:sz w:val="32"/>
          <w:szCs w:val="32"/>
          <w:lang w:val="en-US" w:eastAsia="zh-CN"/>
        </w:rPr>
        <w:t>及时更新广东政务服务网的办事指南，核对5个许可事项在广东政务服务网的名称，精确引用各个审批事项的实施依据，列出各个许可事项所需提交的申请材料。</w:t>
      </w:r>
      <w:r>
        <w:rPr>
          <w:rFonts w:hint="eastAsia" w:ascii="仿宋_GB2312" w:hAnsi="仿宋" w:eastAsia="仿宋_GB2312" w:cs="仿宋_GB2312"/>
          <w:b/>
          <w:bCs/>
          <w:sz w:val="32"/>
          <w:szCs w:val="32"/>
          <w:lang w:val="en-US" w:eastAsia="zh-CN"/>
        </w:rPr>
        <w:t>三是</w:t>
      </w:r>
      <w:r>
        <w:rPr>
          <w:rFonts w:hint="eastAsia" w:ascii="仿宋_GB2312" w:hAnsi="仿宋" w:eastAsia="仿宋_GB2312" w:cs="仿宋_GB2312"/>
          <w:b w:val="0"/>
          <w:bCs w:val="0"/>
          <w:sz w:val="32"/>
          <w:szCs w:val="32"/>
          <w:lang w:val="en-US" w:eastAsia="zh-CN"/>
        </w:rPr>
        <w:t>逐步标准化各个许可事项的申请材料，更新劳务派遣经营许可申请表，引导申请人统一利用新表格进行劳务派遣经营许可申请，明确劳务派遣经营许可的场地使用证明的几种形式，要求申请人在申请劳务派遣经营许可的设立、场地变更时必须提交证明。</w:t>
      </w:r>
      <w:r>
        <w:rPr>
          <w:rFonts w:hint="eastAsia" w:ascii="仿宋_GB2312" w:hAnsi="仿宋" w:eastAsia="仿宋_GB2312" w:cs="仿宋_GB2312"/>
          <w:b/>
          <w:bCs/>
          <w:sz w:val="32"/>
          <w:szCs w:val="32"/>
          <w:lang w:val="en-US" w:eastAsia="zh-CN"/>
        </w:rPr>
        <w:t>四是</w:t>
      </w:r>
      <w:r>
        <w:rPr>
          <w:rFonts w:hint="eastAsia" w:ascii="仿宋_GB2312" w:hAnsi="仿宋" w:eastAsia="仿宋_GB2312" w:cs="仿宋_GB2312"/>
          <w:b w:val="0"/>
          <w:bCs w:val="0"/>
          <w:sz w:val="32"/>
          <w:szCs w:val="32"/>
          <w:lang w:val="en-US" w:eastAsia="zh-CN"/>
        </w:rPr>
        <w:t>严格标准化受理过程，将整个许可审批过程划分为形式性审查和实质性审查，只要申请人提交的资料齐全、符合要求，</w:t>
      </w:r>
      <w:r>
        <w:rPr>
          <w:rFonts w:hint="eastAsia" w:ascii="仿宋_GB2312" w:hAnsi="仿宋" w:eastAsia="仿宋_GB2312" w:cs="仿宋_GB2312"/>
          <w:sz w:val="32"/>
          <w:szCs w:val="32"/>
          <w:lang w:val="en-US" w:eastAsia="zh-CN"/>
        </w:rPr>
        <w:t>一律进行实质性审核，减少受理过程中的自由裁量权。</w:t>
      </w:r>
      <w:r>
        <w:rPr>
          <w:rFonts w:hint="eastAsia" w:ascii="仿宋_GB2312" w:hAnsi="仿宋" w:eastAsia="仿宋_GB2312" w:cs="仿宋_GB2312"/>
          <w:b/>
          <w:bCs/>
          <w:sz w:val="32"/>
          <w:szCs w:val="32"/>
          <w:lang w:val="en-US" w:eastAsia="zh-CN"/>
        </w:rPr>
        <w:t>五是</w:t>
      </w:r>
      <w:r>
        <w:rPr>
          <w:rFonts w:hint="eastAsia" w:ascii="仿宋_GB2312" w:hAnsi="仿宋" w:eastAsia="仿宋_GB2312" w:cs="仿宋_GB2312"/>
          <w:b w:val="0"/>
          <w:bCs w:val="0"/>
          <w:sz w:val="32"/>
          <w:szCs w:val="32"/>
          <w:lang w:val="en-US" w:eastAsia="zh-CN"/>
        </w:rPr>
        <w:t>除了现场核实使用场地外，实质性审查集中于书面审理，依据申请人所提交的材料作出审批决定。</w:t>
      </w:r>
    </w:p>
    <w:p w14:paraId="3F57F1E6">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highlight w:val="none"/>
          <w:lang w:val="en-US" w:eastAsia="zh-CN"/>
        </w:rPr>
      </w:pPr>
      <w:r>
        <w:rPr>
          <w:rFonts w:hint="eastAsia" w:ascii="黑体" w:hAnsi="黑体" w:eastAsia="黑体"/>
          <w:sz w:val="32"/>
          <w:szCs w:val="32"/>
          <w:highlight w:val="none"/>
        </w:rPr>
        <w:t>二、存在问题和困难</w:t>
      </w:r>
    </w:p>
    <w:p w14:paraId="136F7797">
      <w:pPr>
        <w:keepNext w:val="0"/>
        <w:keepLines w:val="0"/>
        <w:pageBreakBefore w:val="0"/>
        <w:kinsoku/>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目前我局在行政许可实施及监督管理工作中取得了一定成效，但与上级要求和群众的期望还有差距。我局行政许可工作范围广，牵涉法律法规较多，仍需加强开展相关法律法规和业务知识学习培训，提升业务素质。</w:t>
      </w:r>
    </w:p>
    <w:p w14:paraId="44785A7B">
      <w:pPr>
        <w:keepNext w:val="0"/>
        <w:keepLines w:val="0"/>
        <w:pageBreakBefore w:val="0"/>
        <w:numPr>
          <w:ilvl w:val="0"/>
          <w:numId w:val="1"/>
        </w:numPr>
        <w:kinsoku/>
        <w:overflowPunct/>
        <w:topLinePunct w:val="0"/>
        <w:autoSpaceDE/>
        <w:autoSpaceDN/>
        <w:bidi w:val="0"/>
        <w:adjustRightInd/>
        <w:snapToGrid/>
        <w:spacing w:line="576" w:lineRule="exact"/>
        <w:ind w:firstLine="640" w:firstLineChars="200"/>
        <w:textAlignment w:val="auto"/>
        <w:rPr>
          <w:rFonts w:hint="eastAsia" w:ascii="黑体" w:hAnsi="黑体" w:eastAsia="黑体"/>
          <w:sz w:val="32"/>
          <w:szCs w:val="32"/>
          <w:highlight w:val="none"/>
        </w:rPr>
      </w:pPr>
      <w:r>
        <w:rPr>
          <w:rFonts w:hint="eastAsia" w:ascii="黑体" w:hAnsi="黑体" w:eastAsia="黑体"/>
          <w:sz w:val="32"/>
          <w:szCs w:val="32"/>
          <w:highlight w:val="none"/>
        </w:rPr>
        <w:t>下一步工作措施</w:t>
      </w:r>
    </w:p>
    <w:p w14:paraId="169E36F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highlight w:val="none"/>
          <w:lang w:eastAsia="zh-CN"/>
        </w:rPr>
      </w:pPr>
      <w:r>
        <w:rPr>
          <w:rFonts w:hint="eastAsia" w:ascii="楷体_GB2312" w:hAnsi="楷体" w:eastAsia="楷体_GB2312"/>
          <w:b/>
          <w:sz w:val="32"/>
          <w:szCs w:val="32"/>
          <w:highlight w:val="none"/>
          <w:lang w:val="en-US" w:eastAsia="zh-CN"/>
        </w:rPr>
        <w:t>一是</w:t>
      </w:r>
      <w:r>
        <w:rPr>
          <w:rFonts w:hint="eastAsia" w:ascii="楷体_GB2312" w:hAnsi="楷体" w:eastAsia="楷体_GB2312"/>
          <w:b/>
          <w:sz w:val="32"/>
          <w:szCs w:val="32"/>
          <w:highlight w:val="none"/>
          <w:lang w:eastAsia="zh-CN"/>
        </w:rPr>
        <w:t>严格</w:t>
      </w:r>
      <w:r>
        <w:rPr>
          <w:rFonts w:hint="eastAsia" w:ascii="楷体_GB2312" w:hAnsi="楷体" w:eastAsia="楷体_GB2312"/>
          <w:b/>
          <w:sz w:val="32"/>
          <w:szCs w:val="32"/>
          <w:highlight w:val="none"/>
          <w:lang w:val="en-US" w:eastAsia="zh-CN"/>
        </w:rPr>
        <w:t>依法</w:t>
      </w:r>
      <w:r>
        <w:rPr>
          <w:rFonts w:hint="eastAsia" w:ascii="楷体_GB2312" w:hAnsi="楷体" w:eastAsia="楷体_GB2312"/>
          <w:b/>
          <w:sz w:val="32"/>
          <w:szCs w:val="32"/>
          <w:highlight w:val="none"/>
          <w:lang w:eastAsia="zh-CN"/>
        </w:rPr>
        <w:t>实施</w:t>
      </w:r>
      <w:r>
        <w:rPr>
          <w:rFonts w:hint="eastAsia" w:ascii="楷体_GB2312" w:hAnsi="楷体" w:eastAsia="楷体_GB2312"/>
          <w:b/>
          <w:sz w:val="32"/>
          <w:szCs w:val="32"/>
          <w:highlight w:val="none"/>
          <w:lang w:val="en-US" w:eastAsia="zh-CN"/>
        </w:rPr>
        <w:t>审批许可</w:t>
      </w:r>
      <w:r>
        <w:rPr>
          <w:rFonts w:hint="eastAsia" w:ascii="楷体_GB2312" w:hAnsi="楷体" w:eastAsia="楷体_GB2312"/>
          <w:b/>
          <w:sz w:val="32"/>
          <w:szCs w:val="32"/>
          <w:highlight w:val="none"/>
          <w:lang w:eastAsia="zh-CN"/>
        </w:rPr>
        <w:t>。</w:t>
      </w:r>
      <w:r>
        <w:rPr>
          <w:rFonts w:hint="eastAsia" w:ascii="仿宋_GB2312" w:hAnsi="仿宋_GB2312" w:eastAsia="仿宋_GB2312" w:cs="仿宋_GB2312"/>
          <w:sz w:val="32"/>
          <w:szCs w:val="32"/>
          <w:highlight w:val="none"/>
          <w:lang w:eastAsia="zh-CN"/>
        </w:rPr>
        <w:t>依据《中华人民共和国民办教育促进法》《中华人民共和国民办教育促进法实施条例》《劳务派遣行政许可实施办法》《劳务派遣暂行规定》《人力资源市场暂行条例》</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lang w:eastAsia="zh-CN"/>
        </w:rPr>
        <w:t>相关法律法规进行全面审核，做到依法审批，严把民办职业培训机构、劳务派遣</w:t>
      </w:r>
      <w:r>
        <w:rPr>
          <w:rFonts w:hint="eastAsia" w:ascii="仿宋_GB2312" w:hAnsi="仿宋_GB2312" w:eastAsia="仿宋_GB2312" w:cs="仿宋_GB2312"/>
          <w:sz w:val="32"/>
          <w:szCs w:val="32"/>
          <w:highlight w:val="none"/>
          <w:lang w:val="en-US" w:eastAsia="zh-CN"/>
        </w:rPr>
        <w:t>经营</w:t>
      </w:r>
      <w:r>
        <w:rPr>
          <w:rFonts w:hint="eastAsia" w:ascii="仿宋_GB2312" w:hAnsi="仿宋_GB2312" w:eastAsia="仿宋_GB2312" w:cs="仿宋_GB2312"/>
          <w:sz w:val="32"/>
          <w:szCs w:val="32"/>
          <w:highlight w:val="none"/>
          <w:lang w:eastAsia="zh-CN"/>
        </w:rPr>
        <w:t>许可、人力资源</w:t>
      </w:r>
      <w:r>
        <w:rPr>
          <w:rFonts w:hint="eastAsia" w:ascii="仿宋_GB2312" w:hAnsi="仿宋_GB2312" w:eastAsia="仿宋_GB2312" w:cs="仿宋_GB2312"/>
          <w:sz w:val="32"/>
          <w:szCs w:val="32"/>
          <w:highlight w:val="none"/>
          <w:lang w:val="en-US" w:eastAsia="zh-CN"/>
        </w:rPr>
        <w:t>服务</w:t>
      </w:r>
      <w:r>
        <w:rPr>
          <w:rFonts w:hint="eastAsia" w:ascii="仿宋_GB2312" w:hAnsi="仿宋_GB2312" w:eastAsia="仿宋_GB2312" w:cs="仿宋_GB2312"/>
          <w:sz w:val="32"/>
          <w:szCs w:val="32"/>
          <w:highlight w:val="none"/>
          <w:lang w:eastAsia="zh-CN"/>
        </w:rPr>
        <w:t>许可“入口关”。</w:t>
      </w:r>
    </w:p>
    <w:p w14:paraId="594D90B1">
      <w:pPr>
        <w:tabs>
          <w:tab w:val="left" w:pos="735"/>
        </w:tabs>
        <w:spacing w:line="560" w:lineRule="exact"/>
        <w:ind w:firstLine="643" w:firstLineChars="200"/>
        <w:rPr>
          <w:rFonts w:hint="eastAsia" w:ascii="仿宋_GB2312" w:hAnsi="仿宋_GB2312" w:eastAsia="仿宋_GB2312" w:cs="仿宋_GB2312"/>
          <w:sz w:val="32"/>
          <w:szCs w:val="32"/>
          <w:highlight w:val="none"/>
          <w:lang w:eastAsia="zh-CN"/>
        </w:rPr>
      </w:pPr>
      <w:r>
        <w:rPr>
          <w:rFonts w:hint="eastAsia" w:ascii="楷体_GB2312" w:hAnsi="楷体" w:eastAsia="楷体_GB2312"/>
          <w:b/>
          <w:sz w:val="32"/>
          <w:szCs w:val="32"/>
          <w:highlight w:val="none"/>
          <w:lang w:val="en-US" w:eastAsia="zh-CN"/>
        </w:rPr>
        <w:t>二是大力提升审批许可效率。</w:t>
      </w:r>
      <w:r>
        <w:rPr>
          <w:rFonts w:hint="eastAsia" w:ascii="仿宋_GB2312" w:hAnsi="仿宋_GB2312" w:eastAsia="仿宋_GB2312" w:cs="仿宋_GB2312"/>
          <w:sz w:val="32"/>
          <w:szCs w:val="32"/>
          <w:highlight w:val="none"/>
          <w:lang w:eastAsia="zh-CN"/>
        </w:rPr>
        <w:t>响应市、区</w:t>
      </w:r>
      <w:r>
        <w:rPr>
          <w:rFonts w:hint="eastAsia" w:ascii="仿宋_GB2312" w:hAnsi="仿宋_GB2312" w:eastAsia="仿宋_GB2312" w:cs="仿宋_GB2312"/>
          <w:sz w:val="32"/>
          <w:szCs w:val="32"/>
          <w:highlight w:val="none"/>
          <w:lang w:val="en-US" w:eastAsia="zh-CN"/>
        </w:rPr>
        <w:t>优化营商环境的</w:t>
      </w:r>
      <w:r>
        <w:rPr>
          <w:rFonts w:hint="eastAsia" w:ascii="仿宋_GB2312" w:hAnsi="仿宋_GB2312" w:eastAsia="仿宋_GB2312" w:cs="仿宋_GB2312"/>
          <w:sz w:val="32"/>
          <w:szCs w:val="32"/>
          <w:highlight w:val="none"/>
          <w:lang w:eastAsia="zh-CN"/>
        </w:rPr>
        <w:t>要求，全面推行审批服务“马上办、网上办、就近办、一次办”，大力优化审批流程以及审批材料，进一步提升审批许可效率，力争实现方便、快捷、高效的审批效果。</w:t>
      </w:r>
    </w:p>
    <w:p w14:paraId="235E6D42">
      <w:pPr>
        <w:tabs>
          <w:tab w:val="left" w:pos="735"/>
        </w:tabs>
        <w:spacing w:line="560" w:lineRule="exact"/>
        <w:ind w:firstLine="643" w:firstLineChars="200"/>
        <w:rPr>
          <w:rFonts w:hint="eastAsia" w:ascii="仿宋_GB2312" w:hAnsi="仿宋_GB2312" w:eastAsia="仿宋_GB2312" w:cs="仿宋_GB2312"/>
          <w:sz w:val="32"/>
          <w:szCs w:val="32"/>
          <w:highlight w:val="none"/>
          <w:lang w:val="en-US" w:eastAsia="zh-CN"/>
        </w:rPr>
      </w:pPr>
      <w:r>
        <w:rPr>
          <w:rFonts w:hint="eastAsia" w:ascii="楷体_GB2312" w:hAnsi="楷体" w:eastAsia="楷体_GB2312"/>
          <w:b/>
          <w:sz w:val="32"/>
          <w:szCs w:val="32"/>
          <w:highlight w:val="none"/>
          <w:lang w:val="en-US" w:eastAsia="zh-CN"/>
        </w:rPr>
        <w:t>三是加强与市局的沟通请示。</w:t>
      </w:r>
      <w:r>
        <w:rPr>
          <w:rFonts w:hint="eastAsia" w:ascii="仿宋_GB2312" w:hAnsi="仿宋_GB2312" w:eastAsia="仿宋_GB2312" w:cs="仿宋_GB2312"/>
          <w:sz w:val="32"/>
          <w:szCs w:val="32"/>
          <w:highlight w:val="none"/>
          <w:lang w:val="en-US" w:eastAsia="zh-CN"/>
        </w:rPr>
        <w:t xml:space="preserve">加强请示报告，对在审批中出现的新情况新问题及时与市局沟通请示，防止因政策把握不准而出现问题，进一步完善行政许可审批工作的规范性。  </w:t>
      </w:r>
    </w:p>
    <w:p w14:paraId="1F7798D3">
      <w:pPr>
        <w:tabs>
          <w:tab w:val="left" w:pos="735"/>
        </w:tabs>
        <w:spacing w:line="560" w:lineRule="exact"/>
        <w:ind w:firstLine="640" w:firstLineChars="200"/>
        <w:rPr>
          <w:rFonts w:hint="eastAsia" w:ascii="仿宋_GB2312" w:hAnsi="仿宋_GB2312" w:eastAsia="仿宋_GB2312" w:cs="仿宋_GB2312"/>
          <w:sz w:val="32"/>
          <w:szCs w:val="32"/>
          <w:highlight w:val="none"/>
          <w:lang w:eastAsia="zh-CN"/>
        </w:rPr>
      </w:pPr>
    </w:p>
    <w:p w14:paraId="6DF318CF">
      <w:pPr>
        <w:tabs>
          <w:tab w:val="left" w:pos="735"/>
        </w:tabs>
        <w:spacing w:line="560" w:lineRule="exact"/>
        <w:ind w:firstLine="640" w:firstLineChars="200"/>
        <w:rPr>
          <w:rFonts w:hint="eastAsia" w:ascii="仿宋_GB2312" w:hAnsi="仿宋_GB2312" w:eastAsia="仿宋_GB2312" w:cs="仿宋_GB2312"/>
          <w:sz w:val="32"/>
          <w:szCs w:val="32"/>
          <w:highlight w:val="none"/>
          <w:lang w:eastAsia="zh-CN"/>
        </w:rPr>
      </w:pPr>
    </w:p>
    <w:p w14:paraId="14880AFE">
      <w:pPr>
        <w:tabs>
          <w:tab w:val="left" w:pos="735"/>
        </w:tabs>
        <w:spacing w:line="560" w:lineRule="exact"/>
        <w:ind w:firstLine="640" w:firstLineChars="200"/>
        <w:jc w:val="righ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广州市花都区人力资源和社会保障局</w:t>
      </w:r>
    </w:p>
    <w:p w14:paraId="7F3A033B">
      <w:pPr>
        <w:tabs>
          <w:tab w:val="left" w:pos="735"/>
        </w:tabs>
        <w:wordWrap w:val="0"/>
        <w:spacing w:line="560" w:lineRule="exact"/>
        <w:ind w:firstLine="640" w:firstLineChars="200"/>
        <w:jc w:val="right"/>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2026年3月10日     </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ITC Zapf Dingbat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ymbolPS"/>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SymbolPS">
    <w:panose1 w:val="05050102010607020607"/>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ITC Zapf Dingbats">
    <w:panose1 w:val="05020102010704020609"/>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6FD6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DE1E43">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DE1E43">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010D54"/>
    <w:multiLevelType w:val="singleLevel"/>
    <w:tmpl w:val="C0010D5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4YjQ1ZjQwYTM4MzBhNjMwZDAyNmJlNTZhZGFiMTIifQ=="/>
  </w:docVars>
  <w:rsids>
    <w:rsidRoot w:val="17864CD7"/>
    <w:rsid w:val="00FC4A28"/>
    <w:rsid w:val="013E57FD"/>
    <w:rsid w:val="01B1620E"/>
    <w:rsid w:val="0647650C"/>
    <w:rsid w:val="0A106B42"/>
    <w:rsid w:val="0F12584A"/>
    <w:rsid w:val="14933FC5"/>
    <w:rsid w:val="17864CD7"/>
    <w:rsid w:val="17D41FC6"/>
    <w:rsid w:val="1D746999"/>
    <w:rsid w:val="238E530D"/>
    <w:rsid w:val="24744BEF"/>
    <w:rsid w:val="256E58F7"/>
    <w:rsid w:val="2AB040EC"/>
    <w:rsid w:val="47981173"/>
    <w:rsid w:val="4CF6702F"/>
    <w:rsid w:val="58E06286"/>
    <w:rsid w:val="5B1D0E82"/>
    <w:rsid w:val="637E4DC3"/>
    <w:rsid w:val="64400295"/>
    <w:rsid w:val="68A94E70"/>
    <w:rsid w:val="724F1CC3"/>
    <w:rsid w:val="73F61748"/>
    <w:rsid w:val="761024BB"/>
    <w:rsid w:val="7C275026"/>
    <w:rsid w:val="7E9E06D8"/>
    <w:rsid w:val="7ECC2D22"/>
    <w:rsid w:val="E2FD1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区人力资源社会保障局</Company>
  <Pages>5</Pages>
  <Words>2611</Words>
  <Characters>2676</Characters>
  <Lines>0</Lines>
  <Paragraphs>0</Paragraphs>
  <TotalTime>1</TotalTime>
  <ScaleCrop>false</ScaleCrop>
  <LinksUpToDate>false</LinksUpToDate>
  <CharactersWithSpaces>2691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2024-03-26T15:19:00Z</dcterms:created>
  <dc:creator>蓝猫</dc:creator>
  <cp:lastModifiedBy>张倩</cp:lastModifiedBy>
  <cp:lastPrinted>2024-03-29T11:22:00Z</cp:lastPrinted>
  <dcterms:modified xsi:type="dcterms:W3CDTF">2026-04-07T16:46:20Z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B47729703A6D49DDAC0E1DE1BCEFA716_13</vt:lpwstr>
  </property>
  <property fmtid="{D5CDD505-2E9C-101B-9397-08002B2CF9AE}" pid="4" name="KSOTemplateDocerSaveRecord">
    <vt:lpwstr>eyJoZGlkIjoiYjc4YjQ1ZjQwYTM4MzBhNjMwZDAyNmJlNTZhZGFiMTIiLCJ1c2VySWQiOiIxNzM2ODM0Mjc0In0=</vt:lpwstr>
  </property>
</Properties>
</file>