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F9518">
      <w:pPr>
        <w:keepNext w:val="0"/>
        <w:keepLines w:val="0"/>
        <w:pageBreakBefore w:val="0"/>
        <w:widowControl w:val="0"/>
        <w:kinsoku/>
        <w:wordWrap/>
        <w:overflowPunct/>
        <w:topLinePunct w:val="0"/>
        <w:autoSpaceDE/>
        <w:autoSpaceDN/>
        <w:bidi w:val="0"/>
        <w:spacing w:line="560" w:lineRule="exact"/>
        <w:jc w:val="left"/>
        <w:textAlignment w:val="auto"/>
        <w:rPr>
          <w:rFonts w:hint="eastAsia" w:ascii="仿宋" w:hAnsi="仿宋" w:eastAsia="仿宋" w:cs="仿宋"/>
          <w:color w:val="000000" w:themeColor="text1"/>
          <w:kern w:val="0"/>
          <w:sz w:val="32"/>
          <w:szCs w:val="32"/>
          <w:shd w:val="clear" w:color="auto" w:fill="FFFFFF"/>
          <w14:textFill>
            <w14:solidFill>
              <w14:schemeClr w14:val="tx1"/>
            </w14:solidFill>
          </w14:textFill>
        </w:rPr>
      </w:pPr>
      <w:bookmarkStart w:id="0" w:name="_Hlk528933888"/>
      <w:r>
        <w:rPr>
          <w:rFonts w:hint="eastAsia" w:ascii="黑体" w:hAnsi="黑体" w:eastAsia="黑体" w:cs="黑体"/>
          <w:color w:val="000000" w:themeColor="text1"/>
          <w:kern w:val="0"/>
          <w:sz w:val="32"/>
          <w:szCs w:val="32"/>
          <w:shd w:val="clear" w:color="auto" w:fill="FFFFFF"/>
          <w14:textFill>
            <w14:solidFill>
              <w14:schemeClr w14:val="tx1"/>
            </w14:solidFill>
          </w14:textFill>
        </w:rPr>
        <w:t>附件</w:t>
      </w:r>
      <w:r>
        <w:rPr>
          <w:rFonts w:hint="eastAsia" w:ascii="黑体" w:hAnsi="黑体" w:eastAsia="黑体" w:cs="黑体"/>
          <w:color w:val="000000" w:themeColor="text1"/>
          <w:kern w:val="0"/>
          <w:sz w:val="32"/>
          <w:szCs w:val="32"/>
          <w:shd w:val="clear" w:color="auto" w:fill="FFFFFF"/>
          <w:lang w:val="en-US" w:eastAsia="zh-CN"/>
          <w14:textFill>
            <w14:solidFill>
              <w14:schemeClr w14:val="tx1"/>
            </w14:solidFill>
          </w14:textFill>
        </w:rPr>
        <w:t>3</w:t>
      </w:r>
      <w:r>
        <w:rPr>
          <w:rFonts w:hint="eastAsia" w:ascii="黑体" w:hAnsi="黑体" w:eastAsia="黑体" w:cs="黑体"/>
          <w:color w:val="000000" w:themeColor="text1"/>
          <w:kern w:val="0"/>
          <w:sz w:val="32"/>
          <w:szCs w:val="32"/>
          <w:shd w:val="clear" w:color="auto" w:fill="FFFFFF"/>
          <w14:textFill>
            <w14:solidFill>
              <w14:schemeClr w14:val="tx1"/>
            </w14:solidFill>
          </w14:textFill>
        </w:rPr>
        <w:t>：</w:t>
      </w:r>
    </w:p>
    <w:p w14:paraId="06ACE5E9">
      <w:pPr>
        <w:keepNext w:val="0"/>
        <w:keepLines w:val="0"/>
        <w:pageBreakBefore w:val="0"/>
        <w:widowControl w:val="0"/>
        <w:kinsoku/>
        <w:wordWrap/>
        <w:overflowPunct/>
        <w:topLinePunct w:val="0"/>
        <w:autoSpaceDE/>
        <w:autoSpaceDN/>
        <w:bidi w:val="0"/>
        <w:spacing w:line="560" w:lineRule="exact"/>
        <w:jc w:val="left"/>
        <w:textAlignment w:val="auto"/>
        <w:rPr>
          <w:rFonts w:hint="eastAsia" w:ascii="仿宋" w:hAnsi="仿宋" w:eastAsia="仿宋" w:cs="仿宋"/>
          <w:color w:val="000000" w:themeColor="text1"/>
          <w:kern w:val="0"/>
          <w:sz w:val="28"/>
          <w:szCs w:val="28"/>
          <w:shd w:val="clear" w:color="auto" w:fill="FFFFFF"/>
          <w14:textFill>
            <w14:solidFill>
              <w14:schemeClr w14:val="tx1"/>
            </w14:solidFill>
          </w14:textFill>
        </w:rPr>
      </w:pPr>
    </w:p>
    <w:p w14:paraId="6BB595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themeColor="text1"/>
          <w:kern w:val="0"/>
          <w:sz w:val="44"/>
          <w:szCs w:val="44"/>
          <w:shd w:val="clear" w:color="auto" w:fill="FFFFFF"/>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kern w:val="0"/>
          <w:sz w:val="44"/>
          <w:szCs w:val="44"/>
          <w:shd w:val="clear" w:color="auto" w:fill="FFFFFF"/>
          <w14:textFill>
            <w14:solidFill>
              <w14:schemeClr w14:val="tx1"/>
            </w14:solidFill>
          </w14:textFill>
        </w:rPr>
        <w:t>广州市花都区</w:t>
      </w:r>
      <w:r>
        <w:rPr>
          <w:rFonts w:hint="eastAsia" w:ascii="方正小标宋简体" w:hAnsi="方正小标宋简体" w:eastAsia="方正小标宋简体" w:cs="方正小标宋简体"/>
          <w:b w:val="0"/>
          <w:bCs w:val="0"/>
          <w:color w:val="000000" w:themeColor="text1"/>
          <w:kern w:val="0"/>
          <w:sz w:val="44"/>
          <w:szCs w:val="44"/>
          <w:shd w:val="clear" w:color="auto" w:fill="FFFFFF"/>
          <w:lang w:val="en-US" w:eastAsia="zh-CN"/>
          <w14:textFill>
            <w14:solidFill>
              <w14:schemeClr w14:val="tx1"/>
            </w14:solidFill>
          </w14:textFill>
        </w:rPr>
        <w:t>动物卫生监督中心</w:t>
      </w:r>
      <w:r>
        <w:rPr>
          <w:rFonts w:hint="eastAsia" w:ascii="方正小标宋简体" w:hAnsi="方正小标宋简体" w:eastAsia="方正小标宋简体" w:cs="方正小标宋简体"/>
          <w:b w:val="0"/>
          <w:bCs w:val="0"/>
          <w:color w:val="000000" w:themeColor="text1"/>
          <w:kern w:val="0"/>
          <w:sz w:val="44"/>
          <w:szCs w:val="44"/>
          <w:shd w:val="clear" w:color="auto" w:fill="FFFFFF"/>
          <w14:textFill>
            <w14:solidFill>
              <w14:schemeClr w14:val="tx1"/>
            </w14:solidFill>
          </w14:textFill>
        </w:rPr>
        <w:t>关于遴选</w:t>
      </w:r>
    </w:p>
    <w:p w14:paraId="7712FC6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themeColor="text1"/>
          <w:kern w:val="0"/>
          <w:sz w:val="44"/>
          <w:szCs w:val="44"/>
          <w:shd w:val="clear" w:color="auto" w:fill="FFFFFF"/>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kern w:val="0"/>
          <w:sz w:val="44"/>
          <w:szCs w:val="44"/>
          <w:shd w:val="clear" w:color="auto" w:fill="FFFFFF"/>
          <w14:textFill>
            <w14:solidFill>
              <w14:schemeClr w14:val="tx1"/>
            </w14:solidFill>
          </w14:textFill>
        </w:rPr>
        <w:t>2026-2027年畜禽产品质量安全第三方</w:t>
      </w:r>
    </w:p>
    <w:p w14:paraId="031EFA5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kern w:val="0"/>
          <w:sz w:val="44"/>
          <w:szCs w:val="44"/>
          <w:shd w:val="clear" w:color="auto" w:fill="FFFFFF"/>
          <w14:textFill>
            <w14:solidFill>
              <w14:schemeClr w14:val="tx1"/>
            </w14:solidFill>
          </w14:textFill>
        </w:rPr>
        <w:t>检测服务商资格项目评分方案</w:t>
      </w:r>
    </w:p>
    <w:p w14:paraId="27F6227A">
      <w:pPr>
        <w:keepNext w:val="0"/>
        <w:keepLines w:val="0"/>
        <w:pageBreakBefore w:val="0"/>
        <w:widowControl w:val="0"/>
        <w:kinsoku/>
        <w:wordWrap/>
        <w:overflowPunct/>
        <w:topLinePunct w:val="0"/>
        <w:autoSpaceDE/>
        <w:autoSpaceDN/>
        <w:bidi w:val="0"/>
        <w:spacing w:line="560" w:lineRule="exact"/>
        <w:ind w:firstLine="883" w:firstLineChars="200"/>
        <w:textAlignment w:val="auto"/>
        <w:rPr>
          <w:rFonts w:ascii="宋体" w:cs="Times New Roman"/>
          <w:b/>
          <w:bCs/>
          <w:color w:val="000000" w:themeColor="text1"/>
          <w:sz w:val="44"/>
          <w:szCs w:val="44"/>
          <w14:textFill>
            <w14:solidFill>
              <w14:schemeClr w14:val="tx1"/>
            </w14:solidFill>
          </w14:textFill>
        </w:rPr>
      </w:pPr>
    </w:p>
    <w:p w14:paraId="7006FD1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一、评标小组</w:t>
      </w:r>
    </w:p>
    <w:p w14:paraId="51D5B13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通过随机抽取的方式抽取区动物卫生监督中心政府采购项目评审成员库成员组成询价评审小组成员，局机关纪委派员担任项目监督员。</w:t>
      </w:r>
    </w:p>
    <w:p w14:paraId="6AA2061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二、评审方式</w:t>
      </w:r>
    </w:p>
    <w:p w14:paraId="3911402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召开现场评审会，对</w:t>
      </w:r>
      <w:r>
        <w:rPr>
          <w:rFonts w:hint="eastAsia" w:ascii="仿宋" w:hAnsi="仿宋" w:eastAsia="仿宋" w:cs="仿宋"/>
          <w:color w:val="000000" w:themeColor="text1"/>
          <w:sz w:val="32"/>
          <w:szCs w:val="32"/>
          <w:lang w:val="en-US" w:eastAsia="zh-CN"/>
          <w14:textFill>
            <w14:solidFill>
              <w14:schemeClr w14:val="tx1"/>
            </w14:solidFill>
          </w14:textFill>
        </w:rPr>
        <w:t>报价单位</w:t>
      </w:r>
      <w:r>
        <w:rPr>
          <w:rFonts w:hint="eastAsia" w:ascii="仿宋" w:hAnsi="仿宋" w:eastAsia="仿宋" w:cs="仿宋"/>
          <w:color w:val="000000" w:themeColor="text1"/>
          <w:sz w:val="32"/>
          <w:szCs w:val="32"/>
          <w14:textFill>
            <w14:solidFill>
              <w14:schemeClr w14:val="tx1"/>
            </w14:solidFill>
          </w14:textFill>
        </w:rPr>
        <w:t>的报价材料进行现场拆封、评审，确定</w:t>
      </w:r>
      <w:r>
        <w:rPr>
          <w:rFonts w:hint="eastAsia" w:ascii="仿宋" w:hAnsi="仿宋" w:eastAsia="仿宋" w:cs="仿宋"/>
          <w:color w:val="000000" w:themeColor="text1"/>
          <w:sz w:val="32"/>
          <w:szCs w:val="32"/>
          <w:lang w:val="en-US" w:eastAsia="zh-CN"/>
          <w14:textFill>
            <w14:solidFill>
              <w14:schemeClr w14:val="tx1"/>
            </w14:solidFill>
          </w14:textFill>
        </w:rPr>
        <w:t>服务商</w:t>
      </w:r>
      <w:r>
        <w:rPr>
          <w:rFonts w:hint="eastAsia" w:ascii="仿宋" w:hAnsi="仿宋" w:eastAsia="仿宋" w:cs="仿宋"/>
          <w:color w:val="000000" w:themeColor="text1"/>
          <w:sz w:val="32"/>
          <w:szCs w:val="32"/>
          <w14:textFill>
            <w14:solidFill>
              <w14:schemeClr w14:val="tx1"/>
            </w14:solidFill>
          </w14:textFill>
        </w:rPr>
        <w:t>。</w:t>
      </w:r>
    </w:p>
    <w:p w14:paraId="69CD16D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三、评审项目</w:t>
      </w:r>
      <w:r>
        <w:rPr>
          <w:rFonts w:hint="eastAsia" w:ascii="黑体" w:hAnsi="黑体" w:eastAsia="黑体" w:cs="黑体"/>
          <w:b w:val="0"/>
          <w:bCs w:val="0"/>
          <w:color w:val="000000" w:themeColor="text1"/>
          <w:sz w:val="32"/>
          <w:szCs w:val="32"/>
          <w:lang w:val="en-US" w:eastAsia="zh-CN"/>
          <w14:textFill>
            <w14:solidFill>
              <w14:schemeClr w14:val="tx1"/>
            </w14:solidFill>
          </w14:textFill>
        </w:rPr>
        <w:t>及报价方式</w:t>
      </w:r>
    </w:p>
    <w:p w14:paraId="11F9D61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一</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评审项目：</w:t>
      </w:r>
      <w:r>
        <w:rPr>
          <w:rFonts w:hint="eastAsia" w:ascii="仿宋" w:hAnsi="仿宋" w:eastAsia="仿宋" w:cs="仿宋"/>
          <w:color w:val="000000" w:themeColor="text1"/>
          <w:sz w:val="32"/>
          <w:szCs w:val="32"/>
          <w:lang w:eastAsia="zh-CN"/>
          <w14:textFill>
            <w14:solidFill>
              <w14:schemeClr w14:val="tx1"/>
            </w14:solidFill>
          </w14:textFill>
        </w:rPr>
        <w:t>2026-2027</w:t>
      </w:r>
      <w:r>
        <w:rPr>
          <w:rFonts w:hint="eastAsia" w:ascii="仿宋" w:hAnsi="仿宋" w:eastAsia="仿宋" w:cs="仿宋"/>
          <w:color w:val="000000" w:themeColor="text1"/>
          <w:sz w:val="32"/>
          <w:szCs w:val="32"/>
          <w14:textFill>
            <w14:solidFill>
              <w14:schemeClr w14:val="tx1"/>
            </w14:solidFill>
          </w14:textFill>
        </w:rPr>
        <w:t>年畜禽产品质量安全第三方检测服务商资格项目</w:t>
      </w:r>
      <w:r>
        <w:rPr>
          <w:rFonts w:hint="eastAsia" w:ascii="仿宋" w:hAnsi="仿宋" w:eastAsia="仿宋" w:cs="仿宋"/>
          <w:color w:val="000000" w:themeColor="text1"/>
          <w:sz w:val="32"/>
          <w:szCs w:val="32"/>
          <w:lang w:eastAsia="zh-CN"/>
          <w14:textFill>
            <w14:solidFill>
              <w14:schemeClr w14:val="tx1"/>
            </w14:solidFill>
          </w14:textFill>
        </w:rPr>
        <w:t>。</w:t>
      </w:r>
    </w:p>
    <w:p w14:paraId="6D4496F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二</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报价方式</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报价单位报价必须包括包装、送货、检测、验收、技术服务、购买样品、质保期保障等一切支出，并包含所有税费。</w:t>
      </w:r>
      <w:r>
        <w:rPr>
          <w:rFonts w:hint="eastAsia" w:ascii="仿宋" w:hAnsi="仿宋" w:eastAsia="仿宋" w:cs="仿宋"/>
          <w:color w:val="000000" w:themeColor="text1"/>
          <w:sz w:val="32"/>
          <w:szCs w:val="32"/>
          <w:lang w:val="en-US" w:eastAsia="zh-CN"/>
          <w14:textFill>
            <w14:solidFill>
              <w14:schemeClr w14:val="tx1"/>
            </w14:solidFill>
          </w14:textFill>
        </w:rPr>
        <w:t>报价单位需</w:t>
      </w:r>
      <w:r>
        <w:rPr>
          <w:rFonts w:hint="eastAsia" w:ascii="仿宋" w:hAnsi="仿宋" w:eastAsia="仿宋" w:cs="仿宋"/>
          <w:color w:val="000000" w:themeColor="text1"/>
          <w:sz w:val="32"/>
          <w:szCs w:val="32"/>
          <w14:textFill>
            <w14:solidFill>
              <w14:schemeClr w14:val="tx1"/>
            </w14:solidFill>
          </w14:textFill>
        </w:rPr>
        <w:t>报出《广州市花都区动物卫生监督中心</w:t>
      </w:r>
      <w:r>
        <w:rPr>
          <w:rFonts w:hint="eastAsia" w:ascii="仿宋" w:hAnsi="仿宋" w:eastAsia="仿宋" w:cs="仿宋"/>
          <w:color w:val="000000" w:themeColor="text1"/>
          <w:sz w:val="32"/>
          <w:szCs w:val="32"/>
          <w:lang w:eastAsia="zh-CN"/>
          <w14:textFill>
            <w14:solidFill>
              <w14:schemeClr w14:val="tx1"/>
            </w14:solidFill>
          </w14:textFill>
        </w:rPr>
        <w:t>2026-2027</w:t>
      </w:r>
      <w:r>
        <w:rPr>
          <w:rFonts w:hint="eastAsia" w:ascii="仿宋" w:hAnsi="仿宋" w:eastAsia="仿宋" w:cs="仿宋"/>
          <w:color w:val="000000" w:themeColor="text1"/>
          <w:sz w:val="32"/>
          <w:szCs w:val="32"/>
          <w14:textFill>
            <w14:solidFill>
              <w14:schemeClr w14:val="tx1"/>
            </w14:solidFill>
          </w14:textFill>
        </w:rPr>
        <w:t>年畜禽产品质量安全第三方检测服务商资格采购项目报价表》中单项检测项目的单价、单批次全部检测项目的平均报价及单批次全部检测项目平均价（保留小数位后两位），并且单项检测项目的报价不得超过单项检测项目最高限价，单批次全部检测项目的报价不得超过单批次全部检测项目的最高限价。如果没有报齐单项检测项目及单批次全部检测项目的单报价，报价无效。最终中标价以六项单批次全部检测项目平均价最低为准。</w:t>
      </w:r>
    </w:p>
    <w:p w14:paraId="330A0E5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四、评审</w:t>
      </w:r>
      <w:r>
        <w:rPr>
          <w:rFonts w:hint="eastAsia" w:ascii="黑体" w:hAnsi="黑体" w:eastAsia="黑体" w:cs="黑体"/>
          <w:b w:val="0"/>
          <w:bCs w:val="0"/>
          <w:color w:val="000000" w:themeColor="text1"/>
          <w:sz w:val="32"/>
          <w:szCs w:val="32"/>
          <w:lang w:val="en-US" w:eastAsia="zh-CN"/>
          <w14:textFill>
            <w14:solidFill>
              <w14:schemeClr w14:val="tx1"/>
            </w14:solidFill>
          </w14:textFill>
        </w:rPr>
        <w:t>原则</w:t>
      </w:r>
    </w:p>
    <w:p w14:paraId="47E146C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color w:val="000000" w:themeColor="text1"/>
          <w:kern w:val="2"/>
          <w:sz w:val="32"/>
          <w:szCs w:val="32"/>
          <w:lang w:val="en-US" w:eastAsia="zh-CN" w:bidi="ar-SA"/>
          <w14:textFill>
            <w14:solidFill>
              <w14:schemeClr w14:val="tx1"/>
            </w14:solidFill>
          </w14:textFill>
        </w:rPr>
      </w:pPr>
      <w:r>
        <w:rPr>
          <w:rFonts w:hint="default" w:ascii="仿宋" w:hAnsi="仿宋" w:eastAsia="仿宋" w:cs="仿宋"/>
          <w:color w:val="000000" w:themeColor="text1"/>
          <w:kern w:val="2"/>
          <w:sz w:val="32"/>
          <w:szCs w:val="32"/>
          <w:lang w:val="zh-CN" w:eastAsia="zh-CN" w:bidi="ar-SA"/>
          <w14:textFill>
            <w14:solidFill>
              <w14:schemeClr w14:val="tx1"/>
            </w14:solidFill>
          </w14:textFill>
        </w:rPr>
        <w:t>采购人根据六项单批次全部检测项目平均价作为评审依据，按照“符合采购需求，质量和服务相等且总报价最低”的原则确定项目承接单位</w:t>
      </w:r>
      <w:r>
        <w:rPr>
          <w:rFonts w:hint="eastAsia" w:ascii="仿宋" w:hAnsi="仿宋" w:eastAsia="仿宋" w:cs="仿宋"/>
          <w:color w:val="000000" w:themeColor="text1"/>
          <w:kern w:val="2"/>
          <w:sz w:val="32"/>
          <w:szCs w:val="32"/>
          <w:lang w:val="zh-CN" w:eastAsia="zh-CN" w:bidi="ar-SA"/>
          <w14:textFill>
            <w14:solidFill>
              <w14:schemeClr w14:val="tx1"/>
            </w14:solidFill>
          </w14:textFill>
        </w:rPr>
        <w:t>，</w:t>
      </w:r>
      <w:r>
        <w:rPr>
          <w:rFonts w:hint="default" w:ascii="仿宋" w:hAnsi="仿宋" w:eastAsia="仿宋" w:cs="仿宋"/>
          <w:color w:val="000000" w:themeColor="text1"/>
          <w:kern w:val="2"/>
          <w:sz w:val="32"/>
          <w:szCs w:val="32"/>
          <w:lang w:val="zh-CN" w:eastAsia="zh-CN" w:bidi="ar-SA"/>
          <w14:textFill>
            <w14:solidFill>
              <w14:schemeClr w14:val="tx1"/>
            </w14:solidFill>
          </w14:textFill>
        </w:rPr>
        <w:t>并将结果通知所有被询价的未成交的供应商。</w:t>
      </w:r>
    </w:p>
    <w:p w14:paraId="4448DA0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五</w:t>
      </w:r>
      <w:r>
        <w:rPr>
          <w:rFonts w:hint="eastAsia" w:ascii="黑体" w:hAnsi="黑体" w:eastAsia="黑体" w:cs="黑体"/>
          <w:b w:val="0"/>
          <w:bCs w:val="0"/>
          <w:color w:val="000000" w:themeColor="text1"/>
          <w:sz w:val="32"/>
          <w:szCs w:val="32"/>
          <w14:textFill>
            <w14:solidFill>
              <w14:schemeClr w14:val="tx1"/>
            </w14:solidFill>
          </w14:textFill>
        </w:rPr>
        <w:t>、评审流程及标准</w:t>
      </w:r>
    </w:p>
    <w:p w14:paraId="1BB18CE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 w:hAnsi="楷体" w:eastAsia="楷体" w:cs="楷体"/>
          <w:b/>
          <w:bCs/>
          <w:color w:val="000000" w:themeColor="text1"/>
          <w:sz w:val="32"/>
          <w:szCs w:val="32"/>
          <w14:textFill>
            <w14:solidFill>
              <w14:schemeClr w14:val="tx1"/>
            </w14:solidFill>
          </w14:textFill>
        </w:rPr>
      </w:pPr>
      <w:r>
        <w:rPr>
          <w:rFonts w:hint="eastAsia" w:ascii="楷体" w:hAnsi="楷体" w:eastAsia="楷体" w:cs="楷体"/>
          <w:b w:val="0"/>
          <w:bCs w:val="0"/>
          <w:color w:val="000000" w:themeColor="text1"/>
          <w:sz w:val="32"/>
          <w:szCs w:val="32"/>
          <w14:textFill>
            <w14:solidFill>
              <w14:schemeClr w14:val="tx1"/>
            </w14:solidFill>
          </w14:textFill>
        </w:rPr>
        <w:t>（一）初步评审</w:t>
      </w:r>
    </w:p>
    <w:p w14:paraId="678950C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1.对投标人资格性进行评审（见表1）。</w:t>
      </w:r>
    </w:p>
    <w:p w14:paraId="1FAEC62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表1：资格性评审表</w:t>
      </w:r>
    </w:p>
    <w:tbl>
      <w:tblPr>
        <w:tblStyle w:val="11"/>
        <w:tblW w:w="8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659"/>
        <w:gridCol w:w="5878"/>
        <w:gridCol w:w="750"/>
        <w:gridCol w:w="705"/>
        <w:gridCol w:w="840"/>
      </w:tblGrid>
      <w:tr w14:paraId="45C6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55" w:hRule="atLeast"/>
        </w:trPr>
        <w:tc>
          <w:tcPr>
            <w:tcW w:w="659" w:type="dxa"/>
            <w:vMerge w:val="restart"/>
            <w:shd w:val="clear" w:color="auto" w:fill="auto"/>
            <w:vAlign w:val="center"/>
          </w:tcPr>
          <w:p w14:paraId="481AD6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sz w:val="21"/>
                <w:szCs w:val="21"/>
                <w:u w:val="none"/>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序号</w:t>
            </w:r>
          </w:p>
        </w:tc>
        <w:tc>
          <w:tcPr>
            <w:tcW w:w="5878" w:type="dxa"/>
            <w:vMerge w:val="restart"/>
            <w:shd w:val="clear" w:color="auto" w:fill="auto"/>
            <w:vAlign w:val="center"/>
          </w:tcPr>
          <w:p w14:paraId="30DDF7C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sz w:val="21"/>
                <w:szCs w:val="21"/>
                <w:u w:val="none"/>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资格</w:t>
            </w:r>
            <w:r>
              <w:rPr>
                <w:rFonts w:hint="eastAsia" w:ascii="宋体" w:hAnsi="宋体" w:cs="宋体"/>
                <w:b/>
                <w:bCs/>
                <w:i w:val="0"/>
                <w:color w:val="000000" w:themeColor="text1"/>
                <w:kern w:val="0"/>
                <w:sz w:val="21"/>
                <w:szCs w:val="21"/>
                <w:u w:val="none"/>
                <w:lang w:val="en-US" w:eastAsia="zh-CN" w:bidi="ar"/>
                <w14:textFill>
                  <w14:solidFill>
                    <w14:schemeClr w14:val="tx1"/>
                  </w14:solidFill>
                </w14:textFill>
              </w:rPr>
              <w:t>性</w:t>
            </w: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审查内容</w:t>
            </w:r>
          </w:p>
        </w:tc>
        <w:tc>
          <w:tcPr>
            <w:tcW w:w="2295" w:type="dxa"/>
            <w:gridSpan w:val="3"/>
            <w:shd w:val="clear" w:color="auto" w:fill="auto"/>
            <w:vAlign w:val="center"/>
          </w:tcPr>
          <w:p w14:paraId="3F264CD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是否符合</w:t>
            </w:r>
          </w:p>
        </w:tc>
      </w:tr>
      <w:tr w14:paraId="359E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90" w:hRule="atLeast"/>
        </w:trPr>
        <w:tc>
          <w:tcPr>
            <w:tcW w:w="659" w:type="dxa"/>
            <w:vMerge w:val="continue"/>
            <w:shd w:val="clear" w:color="auto" w:fill="auto"/>
            <w:vAlign w:val="center"/>
          </w:tcPr>
          <w:p w14:paraId="18A7BA3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b/>
                <w:bCs/>
                <w:i w:val="0"/>
                <w:color w:val="000000" w:themeColor="text1"/>
                <w:sz w:val="21"/>
                <w:szCs w:val="21"/>
                <w:u w:val="none"/>
                <w14:textFill>
                  <w14:solidFill>
                    <w14:schemeClr w14:val="tx1"/>
                  </w14:solidFill>
                </w14:textFill>
              </w:rPr>
            </w:pPr>
          </w:p>
        </w:tc>
        <w:tc>
          <w:tcPr>
            <w:tcW w:w="5878" w:type="dxa"/>
            <w:vMerge w:val="continue"/>
            <w:shd w:val="clear" w:color="auto" w:fill="auto"/>
            <w:vAlign w:val="center"/>
          </w:tcPr>
          <w:p w14:paraId="75DD815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b/>
                <w:bCs/>
                <w:i w:val="0"/>
                <w:color w:val="000000" w:themeColor="text1"/>
                <w:sz w:val="21"/>
                <w:szCs w:val="21"/>
                <w:u w:val="none"/>
                <w14:textFill>
                  <w14:solidFill>
                    <w14:schemeClr w14:val="tx1"/>
                  </w14:solidFill>
                </w14:textFill>
              </w:rPr>
            </w:pPr>
          </w:p>
        </w:tc>
        <w:tc>
          <w:tcPr>
            <w:tcW w:w="750" w:type="dxa"/>
            <w:shd w:val="clear" w:color="auto" w:fill="auto"/>
            <w:vAlign w:val="center"/>
          </w:tcPr>
          <w:p w14:paraId="17C885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sz w:val="21"/>
                <w:szCs w:val="21"/>
                <w:u w:val="none"/>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A公司</w:t>
            </w:r>
          </w:p>
        </w:tc>
        <w:tc>
          <w:tcPr>
            <w:tcW w:w="705" w:type="dxa"/>
            <w:shd w:val="clear" w:color="auto" w:fill="auto"/>
            <w:vAlign w:val="center"/>
          </w:tcPr>
          <w:p w14:paraId="26C5F37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sz w:val="21"/>
                <w:szCs w:val="21"/>
                <w:u w:val="none"/>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B公司</w:t>
            </w:r>
          </w:p>
        </w:tc>
        <w:tc>
          <w:tcPr>
            <w:tcW w:w="840" w:type="dxa"/>
            <w:shd w:val="clear" w:color="auto" w:fill="auto"/>
            <w:vAlign w:val="center"/>
          </w:tcPr>
          <w:p w14:paraId="4E4082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sz w:val="21"/>
                <w:szCs w:val="21"/>
                <w:u w:val="none"/>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D公司</w:t>
            </w:r>
          </w:p>
        </w:tc>
      </w:tr>
      <w:tr w14:paraId="598E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16" w:hRule="atLeast"/>
        </w:trPr>
        <w:tc>
          <w:tcPr>
            <w:tcW w:w="659" w:type="dxa"/>
            <w:shd w:val="clear" w:color="auto" w:fill="auto"/>
            <w:vAlign w:val="center"/>
          </w:tcPr>
          <w:p w14:paraId="15FBF6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000000" w:themeColor="text1"/>
                <w:sz w:val="21"/>
                <w:szCs w:val="21"/>
                <w:u w:val="none"/>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1</w:t>
            </w:r>
          </w:p>
        </w:tc>
        <w:tc>
          <w:tcPr>
            <w:tcW w:w="5878" w:type="dxa"/>
            <w:shd w:val="clear" w:color="auto" w:fill="auto"/>
            <w:vAlign w:val="center"/>
          </w:tcPr>
          <w:p w14:paraId="5B19CDA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color w:val="000000" w:themeColor="text1"/>
                <w:sz w:val="21"/>
                <w:szCs w:val="21"/>
                <w:u w:val="none"/>
                <w14:textFill>
                  <w14:solidFill>
                    <w14:schemeClr w14:val="tx1"/>
                  </w14:solidFill>
                </w14:textFill>
              </w:rPr>
            </w:pPr>
            <w:r>
              <w:rPr>
                <w:rFonts w:hint="eastAsia" w:ascii="仿宋_GB2312" w:hAnsi="仿宋_GB2312" w:eastAsia="仿宋_GB2312" w:cs="仿宋_GB2312"/>
                <w:i w:val="0"/>
                <w:color w:val="000000"/>
                <w:kern w:val="0"/>
                <w:sz w:val="21"/>
                <w:szCs w:val="21"/>
                <w:u w:val="none"/>
                <w:lang w:val="en-US" w:eastAsia="zh-CN" w:bidi="ar"/>
              </w:rPr>
              <w:t>营业执照（或事业单位法人证书，或社会团体法人登记证书，或执业许可证）、组织机构代码证和税务登记证（或三证合一证明）复印件。</w:t>
            </w:r>
          </w:p>
        </w:tc>
        <w:tc>
          <w:tcPr>
            <w:tcW w:w="750" w:type="dxa"/>
            <w:shd w:val="clear" w:color="auto" w:fill="auto"/>
            <w:vAlign w:val="center"/>
          </w:tcPr>
          <w:p w14:paraId="792783B3">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3EE557B8">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082B3796">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4FC41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80" w:hRule="atLeast"/>
        </w:trPr>
        <w:tc>
          <w:tcPr>
            <w:tcW w:w="659" w:type="dxa"/>
            <w:shd w:val="clear" w:color="auto" w:fill="auto"/>
            <w:vAlign w:val="center"/>
          </w:tcPr>
          <w:p w14:paraId="6BEA498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2</w:t>
            </w:r>
          </w:p>
        </w:tc>
        <w:tc>
          <w:tcPr>
            <w:tcW w:w="5878" w:type="dxa"/>
            <w:shd w:val="clear" w:color="auto" w:fill="auto"/>
            <w:vAlign w:val="center"/>
          </w:tcPr>
          <w:p w14:paraId="32B4BC1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有良好的商业信誉和健全的财务会计制度（提供证明材料）。</w:t>
            </w:r>
          </w:p>
        </w:tc>
        <w:tc>
          <w:tcPr>
            <w:tcW w:w="750" w:type="dxa"/>
            <w:shd w:val="clear" w:color="auto" w:fill="auto"/>
            <w:vAlign w:val="center"/>
          </w:tcPr>
          <w:p w14:paraId="29CE679D">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7786E954">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5E955D69">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5C459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0" w:hRule="atLeast"/>
        </w:trPr>
        <w:tc>
          <w:tcPr>
            <w:tcW w:w="659" w:type="dxa"/>
            <w:shd w:val="clear" w:color="auto" w:fill="auto"/>
            <w:vAlign w:val="center"/>
          </w:tcPr>
          <w:p w14:paraId="3BE195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3</w:t>
            </w:r>
          </w:p>
        </w:tc>
        <w:tc>
          <w:tcPr>
            <w:tcW w:w="5878" w:type="dxa"/>
            <w:shd w:val="clear" w:color="auto" w:fill="auto"/>
            <w:vAlign w:val="center"/>
          </w:tcPr>
          <w:p w14:paraId="4B24B64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具有履行合同所必需的设备和专业技术能力（投标人实验室设备具有1.液相色谱串联质谱仪；2.气相色谱质谱联用仪；3.电感耦合等离子体质谱仪；4.气相色谱仪；5.液相色谱仪；6.原子吸收光谱仪。所有设备应为投标人自有设备，需提供仪器设备校准证书和发票复印件）。</w:t>
            </w:r>
          </w:p>
        </w:tc>
        <w:tc>
          <w:tcPr>
            <w:tcW w:w="750" w:type="dxa"/>
            <w:shd w:val="clear" w:color="auto" w:fill="auto"/>
            <w:vAlign w:val="center"/>
          </w:tcPr>
          <w:p w14:paraId="73089121">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0299D517">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05FEB669">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167E3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80" w:hRule="atLeast"/>
        </w:trPr>
        <w:tc>
          <w:tcPr>
            <w:tcW w:w="659" w:type="dxa"/>
            <w:shd w:val="clear" w:color="auto" w:fill="auto"/>
            <w:vAlign w:val="center"/>
          </w:tcPr>
          <w:p w14:paraId="0E54008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4</w:t>
            </w:r>
          </w:p>
        </w:tc>
        <w:tc>
          <w:tcPr>
            <w:tcW w:w="5878" w:type="dxa"/>
            <w:shd w:val="clear" w:color="auto" w:fill="auto"/>
            <w:vAlign w:val="center"/>
          </w:tcPr>
          <w:p w14:paraId="56BBBFBD">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有依法缴纳税收和社会保障资金的良好记录（提供证明材料）。</w:t>
            </w:r>
          </w:p>
        </w:tc>
        <w:tc>
          <w:tcPr>
            <w:tcW w:w="750" w:type="dxa"/>
            <w:shd w:val="clear" w:color="auto" w:fill="auto"/>
            <w:vAlign w:val="center"/>
          </w:tcPr>
          <w:p w14:paraId="48B15DF0">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373C6077">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50F3A63D">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3D7D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80" w:hRule="atLeast"/>
        </w:trPr>
        <w:tc>
          <w:tcPr>
            <w:tcW w:w="659" w:type="dxa"/>
            <w:shd w:val="clear" w:color="auto" w:fill="auto"/>
            <w:vAlign w:val="center"/>
          </w:tcPr>
          <w:p w14:paraId="2FA774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5</w:t>
            </w:r>
          </w:p>
        </w:tc>
        <w:tc>
          <w:tcPr>
            <w:tcW w:w="5878" w:type="dxa"/>
            <w:shd w:val="clear" w:color="auto" w:fill="auto"/>
            <w:vAlign w:val="center"/>
          </w:tcPr>
          <w:p w14:paraId="33CADD79">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参加政府采购活动前三年内，在经营活动中没有重大违法记录（可提供承诺函）。</w:t>
            </w:r>
          </w:p>
        </w:tc>
        <w:tc>
          <w:tcPr>
            <w:tcW w:w="750" w:type="dxa"/>
            <w:shd w:val="clear" w:color="auto" w:fill="auto"/>
            <w:vAlign w:val="center"/>
          </w:tcPr>
          <w:p w14:paraId="796F2E06">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4C5FFC01">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565CACE4">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294C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480" w:hRule="atLeast"/>
        </w:trPr>
        <w:tc>
          <w:tcPr>
            <w:tcW w:w="659" w:type="dxa"/>
            <w:shd w:val="clear" w:color="auto" w:fill="auto"/>
            <w:vAlign w:val="center"/>
          </w:tcPr>
          <w:p w14:paraId="21F451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000000" w:themeColor="text1"/>
                <w:sz w:val="21"/>
                <w:szCs w:val="21"/>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1"/>
                <w:szCs w:val="21"/>
                <w:u w:val="none"/>
                <w:lang w:val="en-US" w:eastAsia="zh-CN"/>
                <w14:textFill>
                  <w14:solidFill>
                    <w14:schemeClr w14:val="tx1"/>
                  </w14:solidFill>
                </w14:textFill>
              </w:rPr>
              <w:t>6</w:t>
            </w:r>
          </w:p>
        </w:tc>
        <w:tc>
          <w:tcPr>
            <w:tcW w:w="5878" w:type="dxa"/>
            <w:shd w:val="clear" w:color="auto" w:fill="auto"/>
            <w:vAlign w:val="center"/>
          </w:tcPr>
          <w:p w14:paraId="38A6E57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color w:val="000000" w:themeColor="text1"/>
                <w:sz w:val="21"/>
                <w:szCs w:val="21"/>
                <w:u w:val="none"/>
                <w14:textFill>
                  <w14:solidFill>
                    <w14:schemeClr w14:val="tx1"/>
                  </w14:solidFill>
                </w14:textFill>
              </w:rPr>
            </w:pPr>
            <w:r>
              <w:rPr>
                <w:rFonts w:hint="eastAsia" w:ascii="仿宋_GB2312" w:hAnsi="仿宋_GB2312" w:eastAsia="仿宋_GB2312" w:cs="仿宋_GB2312"/>
                <w:i w:val="0"/>
                <w:color w:val="000000"/>
                <w:kern w:val="0"/>
                <w:sz w:val="21"/>
                <w:szCs w:val="21"/>
                <w:u w:val="none"/>
                <w:lang w:val="en-US" w:eastAsia="zh-CN" w:bidi="ar"/>
              </w:rPr>
              <w:t>响应函（如果是法定代表人亲自签署响应文件，则提供法定代表人证明书；如不是法定代表人亲自签署响应文件，则须提供法定代表人证明书及法定代表人的授权书，须提交且签字有效</w:t>
            </w:r>
            <w:bookmarkStart w:id="2" w:name="_GoBack"/>
            <w:bookmarkEnd w:id="2"/>
            <w:r>
              <w:rPr>
                <w:rFonts w:hint="eastAsia" w:ascii="仿宋_GB2312" w:hAnsi="仿宋_GB2312" w:eastAsia="仿宋_GB2312" w:cs="仿宋_GB2312"/>
                <w:i w:val="0"/>
                <w:color w:val="000000"/>
                <w:kern w:val="0"/>
                <w:sz w:val="21"/>
                <w:szCs w:val="21"/>
                <w:u w:val="none"/>
                <w:lang w:val="en-US" w:eastAsia="zh-CN" w:bidi="ar"/>
              </w:rPr>
              <w:t>并加盖公章有效）。</w:t>
            </w:r>
          </w:p>
        </w:tc>
        <w:tc>
          <w:tcPr>
            <w:tcW w:w="750" w:type="dxa"/>
            <w:shd w:val="clear" w:color="auto" w:fill="auto"/>
            <w:vAlign w:val="center"/>
          </w:tcPr>
          <w:p w14:paraId="1FFCEA3B">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469C1289">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29412190">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5EFC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48" w:hRule="atLeast"/>
        </w:trPr>
        <w:tc>
          <w:tcPr>
            <w:tcW w:w="659" w:type="dxa"/>
            <w:shd w:val="clear" w:color="auto" w:fill="auto"/>
            <w:vAlign w:val="center"/>
          </w:tcPr>
          <w:p w14:paraId="388A10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sz w:val="21"/>
                <w:szCs w:val="21"/>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1"/>
                <w:szCs w:val="21"/>
                <w:u w:val="none"/>
                <w:lang w:val="en-US" w:eastAsia="zh-CN"/>
                <w14:textFill>
                  <w14:solidFill>
                    <w14:schemeClr w14:val="tx1"/>
                  </w14:solidFill>
                </w14:textFill>
              </w:rPr>
              <w:t>7</w:t>
            </w:r>
          </w:p>
        </w:tc>
        <w:tc>
          <w:tcPr>
            <w:tcW w:w="5878" w:type="dxa"/>
            <w:shd w:val="clear" w:color="auto" w:fill="auto"/>
            <w:vAlign w:val="center"/>
          </w:tcPr>
          <w:p w14:paraId="4BCAA5E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color w:val="000000" w:themeColor="text1"/>
                <w:sz w:val="21"/>
                <w:szCs w:val="21"/>
                <w:u w:val="none"/>
                <w14:textFill>
                  <w14:solidFill>
                    <w14:schemeClr w14:val="tx1"/>
                  </w14:solidFill>
                </w14:textFill>
              </w:rPr>
            </w:pPr>
            <w:r>
              <w:rPr>
                <w:rFonts w:hint="eastAsia" w:ascii="仿宋_GB2312" w:hAnsi="仿宋_GB2312" w:eastAsia="仿宋_GB2312" w:cs="仿宋_GB2312"/>
                <w:i w:val="0"/>
                <w:color w:val="000000"/>
                <w:kern w:val="0"/>
                <w:sz w:val="21"/>
                <w:szCs w:val="21"/>
                <w:u w:val="none"/>
                <w:lang w:val="en-US" w:eastAsia="zh-CN" w:bidi="ar"/>
              </w:rPr>
              <w:t>法定代表人证明书或法定代表人授权委托书、经办人复印件。</w:t>
            </w:r>
          </w:p>
        </w:tc>
        <w:tc>
          <w:tcPr>
            <w:tcW w:w="750" w:type="dxa"/>
            <w:shd w:val="clear" w:color="auto" w:fill="auto"/>
            <w:vAlign w:val="center"/>
          </w:tcPr>
          <w:p w14:paraId="35AFE167">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3F0971A3">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552087F3">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2E02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60" w:hRule="atLeast"/>
        </w:trPr>
        <w:tc>
          <w:tcPr>
            <w:tcW w:w="659" w:type="dxa"/>
            <w:shd w:val="clear" w:color="auto" w:fill="auto"/>
            <w:vAlign w:val="center"/>
          </w:tcPr>
          <w:p w14:paraId="5B303A8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themeColor="text1"/>
                <w:sz w:val="21"/>
                <w:szCs w:val="21"/>
                <w:u w:val="none"/>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结果</w:t>
            </w:r>
          </w:p>
        </w:tc>
        <w:tc>
          <w:tcPr>
            <w:tcW w:w="5878" w:type="dxa"/>
            <w:shd w:val="clear" w:color="auto" w:fill="auto"/>
            <w:vAlign w:val="center"/>
          </w:tcPr>
          <w:p w14:paraId="6B45D567">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000000" w:themeColor="text1"/>
                <w:sz w:val="21"/>
                <w:szCs w:val="21"/>
                <w:u w:val="none"/>
                <w14:textFill>
                  <w14:solidFill>
                    <w14:schemeClr w14:val="tx1"/>
                  </w14:solidFill>
                </w14:textFill>
              </w:rPr>
            </w:pPr>
          </w:p>
        </w:tc>
        <w:tc>
          <w:tcPr>
            <w:tcW w:w="750" w:type="dxa"/>
            <w:shd w:val="clear" w:color="auto" w:fill="auto"/>
            <w:vAlign w:val="center"/>
          </w:tcPr>
          <w:p w14:paraId="1AEE631C">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000000" w:themeColor="text1"/>
                <w:sz w:val="21"/>
                <w:szCs w:val="21"/>
                <w:u w:val="none"/>
                <w14:textFill>
                  <w14:solidFill>
                    <w14:schemeClr w14:val="tx1"/>
                  </w14:solidFill>
                </w14:textFill>
              </w:rPr>
            </w:pPr>
          </w:p>
        </w:tc>
        <w:tc>
          <w:tcPr>
            <w:tcW w:w="705" w:type="dxa"/>
            <w:shd w:val="clear" w:color="auto" w:fill="auto"/>
            <w:vAlign w:val="center"/>
          </w:tcPr>
          <w:p w14:paraId="008BE378">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000000" w:themeColor="text1"/>
                <w:sz w:val="21"/>
                <w:szCs w:val="21"/>
                <w:u w:val="none"/>
                <w14:textFill>
                  <w14:solidFill>
                    <w14:schemeClr w14:val="tx1"/>
                  </w14:solidFill>
                </w14:textFill>
              </w:rPr>
            </w:pPr>
          </w:p>
        </w:tc>
        <w:tc>
          <w:tcPr>
            <w:tcW w:w="840" w:type="dxa"/>
            <w:shd w:val="clear" w:color="auto" w:fill="auto"/>
            <w:vAlign w:val="center"/>
          </w:tcPr>
          <w:p w14:paraId="772051A3">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themeColor="text1"/>
                <w:sz w:val="21"/>
                <w:szCs w:val="21"/>
                <w:u w:val="none"/>
                <w14:textFill>
                  <w14:solidFill>
                    <w14:schemeClr w14:val="tx1"/>
                  </w14:solidFill>
                </w14:textFill>
              </w:rPr>
            </w:pPr>
          </w:p>
        </w:tc>
      </w:tr>
    </w:tbl>
    <w:p w14:paraId="2A4C23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以上</w:t>
      </w:r>
      <w:r>
        <w:rPr>
          <w:rFonts w:hint="eastAsia" w:ascii="仿宋" w:hAnsi="仿宋" w:eastAsia="仿宋" w:cs="仿宋"/>
          <w:color w:val="000000" w:themeColor="text1"/>
          <w:sz w:val="32"/>
          <w:szCs w:val="32"/>
          <w:lang w:val="en-US" w:eastAsia="zh-CN"/>
          <w14:textFill>
            <w14:solidFill>
              <w14:schemeClr w14:val="tx1"/>
            </w14:solidFill>
          </w14:textFill>
        </w:rPr>
        <w:t>资格性</w:t>
      </w:r>
      <w:r>
        <w:rPr>
          <w:rFonts w:hint="eastAsia" w:ascii="仿宋" w:hAnsi="仿宋" w:eastAsia="仿宋" w:cs="仿宋"/>
          <w:color w:val="000000" w:themeColor="text1"/>
          <w:sz w:val="32"/>
          <w:szCs w:val="32"/>
          <w14:textFill>
            <w14:solidFill>
              <w14:schemeClr w14:val="tx1"/>
            </w14:solidFill>
          </w14:textFill>
        </w:rPr>
        <w:t>审查项目评审标准为“通过”和“不通过”，通过的打“Ｏ”，不通过的打“×”。如对</w:t>
      </w:r>
      <w:r>
        <w:rPr>
          <w:rFonts w:hint="eastAsia" w:ascii="仿宋" w:hAnsi="仿宋" w:eastAsia="仿宋" w:cs="仿宋"/>
          <w:color w:val="000000" w:themeColor="text1"/>
          <w:sz w:val="32"/>
          <w:szCs w:val="32"/>
          <w:lang w:val="en-US" w:eastAsia="zh-CN"/>
          <w14:textFill>
            <w14:solidFill>
              <w14:schemeClr w14:val="tx1"/>
            </w14:solidFill>
          </w14:textFill>
        </w:rPr>
        <w:t>资格性</w:t>
      </w:r>
      <w:r>
        <w:rPr>
          <w:rFonts w:hint="eastAsia" w:ascii="仿宋" w:hAnsi="仿宋" w:eastAsia="仿宋" w:cs="仿宋"/>
          <w:color w:val="000000" w:themeColor="text1"/>
          <w:sz w:val="32"/>
          <w:szCs w:val="32"/>
          <w14:textFill>
            <w14:solidFill>
              <w14:schemeClr w14:val="tx1"/>
            </w14:solidFill>
          </w14:textFill>
        </w:rPr>
        <w:t>审查评审中有一项不能通过评审，则最终评审结果为“不通过”。</w:t>
      </w:r>
      <w:r>
        <w:rPr>
          <w:rFonts w:hint="eastAsia" w:ascii="仿宋" w:hAnsi="仿宋" w:eastAsia="仿宋" w:cs="仿宋"/>
          <w:color w:val="000000" w:themeColor="text1"/>
          <w:sz w:val="32"/>
          <w:szCs w:val="32"/>
          <w:lang w:val="en-US" w:eastAsia="zh-CN"/>
          <w14:textFill>
            <w14:solidFill>
              <w14:schemeClr w14:val="tx1"/>
            </w14:solidFill>
          </w14:textFill>
        </w:rPr>
        <w:t>通过的进入符合性评审环节。</w:t>
      </w:r>
    </w:p>
    <w:p w14:paraId="7AB68FBF">
      <w:pPr>
        <w:pStyle w:val="10"/>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2.对投标人符合性进行评审（见表2）</w:t>
      </w:r>
    </w:p>
    <w:p w14:paraId="3150FDC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表</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：符合性</w:t>
      </w:r>
      <w:r>
        <w:rPr>
          <w:rFonts w:hint="eastAsia" w:ascii="仿宋" w:hAnsi="仿宋" w:eastAsia="仿宋" w:cs="仿宋"/>
          <w:color w:val="000000" w:themeColor="text1"/>
          <w:sz w:val="32"/>
          <w:szCs w:val="32"/>
          <w:lang w:val="en-US" w:eastAsia="zh-CN"/>
          <w14:textFill>
            <w14:solidFill>
              <w14:schemeClr w14:val="tx1"/>
            </w14:solidFill>
          </w14:textFill>
        </w:rPr>
        <w:t>审查</w:t>
      </w:r>
      <w:r>
        <w:rPr>
          <w:rFonts w:hint="eastAsia" w:ascii="仿宋" w:hAnsi="仿宋" w:eastAsia="仿宋" w:cs="仿宋"/>
          <w:color w:val="000000" w:themeColor="text1"/>
          <w:sz w:val="32"/>
          <w:szCs w:val="32"/>
          <w14:textFill>
            <w14:solidFill>
              <w14:schemeClr w14:val="tx1"/>
            </w14:solidFill>
          </w14:textFill>
        </w:rPr>
        <w:t>表</w:t>
      </w:r>
    </w:p>
    <w:tbl>
      <w:tblPr>
        <w:tblStyle w:val="11"/>
        <w:tblW w:w="92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617"/>
        <w:gridCol w:w="5954"/>
        <w:gridCol w:w="718"/>
        <w:gridCol w:w="705"/>
        <w:gridCol w:w="660"/>
        <w:gridCol w:w="600"/>
      </w:tblGrid>
      <w:tr w14:paraId="22A3E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10" w:hRule="atLeast"/>
          <w:jc w:val="center"/>
        </w:trPr>
        <w:tc>
          <w:tcPr>
            <w:tcW w:w="617" w:type="dxa"/>
            <w:vMerge w:val="restart"/>
            <w:shd w:val="clear" w:color="auto" w:fill="auto"/>
            <w:vAlign w:val="center"/>
          </w:tcPr>
          <w:p w14:paraId="7BE65C8F">
            <w:pPr>
              <w:keepNext w:val="0"/>
              <w:keepLines w:val="0"/>
              <w:widowControl/>
              <w:suppressLineNumbers w:val="0"/>
              <w:jc w:val="center"/>
              <w:textAlignment w:val="center"/>
              <w:rPr>
                <w:rFonts w:hint="eastAsia" w:ascii="宋体" w:hAnsi="宋体" w:eastAsia="宋体" w:cs="宋体"/>
                <w:b/>
                <w:bCs/>
                <w:i w:val="0"/>
                <w:color w:val="000000" w:themeColor="text1"/>
                <w:sz w:val="20"/>
                <w:szCs w:val="20"/>
                <w:u w:val="none"/>
                <w14:textFill>
                  <w14:solidFill>
                    <w14:schemeClr w14:val="tx1"/>
                  </w14:solidFill>
                </w14:textFill>
              </w:rPr>
            </w:pPr>
            <w:r>
              <w:rPr>
                <w:rFonts w:hint="eastAsia" w:ascii="宋体" w:hAnsi="宋体" w:eastAsia="宋体" w:cs="宋体"/>
                <w:b/>
                <w:bCs/>
                <w:i w:val="0"/>
                <w:color w:val="000000" w:themeColor="text1"/>
                <w:kern w:val="0"/>
                <w:sz w:val="20"/>
                <w:szCs w:val="20"/>
                <w:u w:val="none"/>
                <w:lang w:val="en-US" w:eastAsia="zh-CN" w:bidi="ar"/>
                <w14:textFill>
                  <w14:solidFill>
                    <w14:schemeClr w14:val="tx1"/>
                  </w14:solidFill>
                </w14:textFill>
              </w:rPr>
              <w:t>序号</w:t>
            </w:r>
          </w:p>
        </w:tc>
        <w:tc>
          <w:tcPr>
            <w:tcW w:w="5954" w:type="dxa"/>
            <w:vMerge w:val="restart"/>
            <w:shd w:val="clear" w:color="auto" w:fill="auto"/>
            <w:vAlign w:val="center"/>
          </w:tcPr>
          <w:p w14:paraId="1CE17268">
            <w:pPr>
              <w:keepNext w:val="0"/>
              <w:keepLines w:val="0"/>
              <w:widowControl/>
              <w:suppressLineNumbers w:val="0"/>
              <w:jc w:val="center"/>
              <w:textAlignment w:val="center"/>
              <w:rPr>
                <w:rFonts w:hint="eastAsia" w:ascii="宋体" w:hAnsi="宋体" w:eastAsia="宋体" w:cs="宋体"/>
                <w:b/>
                <w:bCs/>
                <w:i w:val="0"/>
                <w:color w:val="000000" w:themeColor="text1"/>
                <w:sz w:val="20"/>
                <w:szCs w:val="20"/>
                <w:u w:val="none"/>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符合性审查内容</w:t>
            </w:r>
          </w:p>
        </w:tc>
        <w:tc>
          <w:tcPr>
            <w:tcW w:w="2683" w:type="dxa"/>
            <w:gridSpan w:val="4"/>
            <w:shd w:val="clear" w:color="auto" w:fill="auto"/>
            <w:vAlign w:val="center"/>
          </w:tcPr>
          <w:p w14:paraId="73E787EE">
            <w:pPr>
              <w:keepNext w:val="0"/>
              <w:keepLines w:val="0"/>
              <w:widowControl/>
              <w:suppressLineNumbers w:val="0"/>
              <w:jc w:val="center"/>
              <w:textAlignment w:val="center"/>
              <w:rPr>
                <w:rFonts w:hint="eastAsia" w:ascii="宋体" w:hAnsi="宋体" w:eastAsia="宋体" w:cs="宋体"/>
                <w:b/>
                <w:bCs/>
                <w:i w:val="0"/>
                <w:color w:val="000000" w:themeColor="text1"/>
                <w:sz w:val="20"/>
                <w:szCs w:val="20"/>
                <w:u w:val="none"/>
                <w14:textFill>
                  <w14:solidFill>
                    <w14:schemeClr w14:val="tx1"/>
                  </w14:solidFill>
                </w14:textFill>
              </w:rPr>
            </w:pPr>
            <w:r>
              <w:rPr>
                <w:rFonts w:hint="eastAsia" w:ascii="宋体" w:hAnsi="宋体" w:eastAsia="宋体" w:cs="宋体"/>
                <w:b/>
                <w:bCs/>
                <w:i w:val="0"/>
                <w:color w:val="000000" w:themeColor="text1"/>
                <w:kern w:val="0"/>
                <w:sz w:val="20"/>
                <w:szCs w:val="20"/>
                <w:u w:val="none"/>
                <w:lang w:val="en-US" w:eastAsia="zh-CN" w:bidi="ar"/>
                <w14:textFill>
                  <w14:solidFill>
                    <w14:schemeClr w14:val="tx1"/>
                  </w14:solidFill>
                </w14:textFill>
              </w:rPr>
              <w:t>是否符合</w:t>
            </w:r>
          </w:p>
        </w:tc>
      </w:tr>
      <w:tr w14:paraId="7986B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20" w:hRule="atLeast"/>
          <w:jc w:val="center"/>
        </w:trPr>
        <w:tc>
          <w:tcPr>
            <w:tcW w:w="617" w:type="dxa"/>
            <w:vMerge w:val="continue"/>
            <w:shd w:val="clear" w:color="auto" w:fill="auto"/>
            <w:vAlign w:val="center"/>
          </w:tcPr>
          <w:p w14:paraId="13A9A545">
            <w:pPr>
              <w:jc w:val="center"/>
              <w:rPr>
                <w:rFonts w:hint="eastAsia" w:ascii="宋体" w:hAnsi="宋体" w:eastAsia="宋体" w:cs="宋体"/>
                <w:b/>
                <w:bCs/>
                <w:i w:val="0"/>
                <w:color w:val="000000" w:themeColor="text1"/>
                <w:sz w:val="20"/>
                <w:szCs w:val="20"/>
                <w:u w:val="none"/>
                <w14:textFill>
                  <w14:solidFill>
                    <w14:schemeClr w14:val="tx1"/>
                  </w14:solidFill>
                </w14:textFill>
              </w:rPr>
            </w:pPr>
          </w:p>
        </w:tc>
        <w:tc>
          <w:tcPr>
            <w:tcW w:w="5954" w:type="dxa"/>
            <w:vMerge w:val="continue"/>
            <w:shd w:val="clear" w:color="auto" w:fill="auto"/>
            <w:vAlign w:val="center"/>
          </w:tcPr>
          <w:p w14:paraId="0CA1B8BF">
            <w:pPr>
              <w:jc w:val="center"/>
              <w:rPr>
                <w:rFonts w:hint="eastAsia" w:ascii="宋体" w:hAnsi="宋体" w:eastAsia="宋体" w:cs="宋体"/>
                <w:b/>
                <w:bCs/>
                <w:i w:val="0"/>
                <w:color w:val="000000" w:themeColor="text1"/>
                <w:sz w:val="20"/>
                <w:szCs w:val="20"/>
                <w:u w:val="none"/>
                <w14:textFill>
                  <w14:solidFill>
                    <w14:schemeClr w14:val="tx1"/>
                  </w14:solidFill>
                </w14:textFill>
              </w:rPr>
            </w:pPr>
          </w:p>
        </w:tc>
        <w:tc>
          <w:tcPr>
            <w:tcW w:w="718" w:type="dxa"/>
            <w:shd w:val="clear" w:color="auto" w:fill="auto"/>
            <w:vAlign w:val="center"/>
          </w:tcPr>
          <w:p w14:paraId="6767144B">
            <w:pPr>
              <w:keepNext w:val="0"/>
              <w:keepLines w:val="0"/>
              <w:widowControl/>
              <w:suppressLineNumbers w:val="0"/>
              <w:jc w:val="center"/>
              <w:textAlignment w:val="center"/>
              <w:rPr>
                <w:rFonts w:hint="eastAsia" w:ascii="宋体" w:hAnsi="宋体" w:eastAsia="宋体" w:cs="宋体"/>
                <w:b/>
                <w:bCs/>
                <w:i w:val="0"/>
                <w:color w:val="000000" w:themeColor="text1"/>
                <w:sz w:val="20"/>
                <w:szCs w:val="20"/>
                <w:u w:val="none"/>
                <w14:textFill>
                  <w14:solidFill>
                    <w14:schemeClr w14:val="tx1"/>
                  </w14:solidFill>
                </w14:textFill>
              </w:rPr>
            </w:pPr>
            <w:r>
              <w:rPr>
                <w:rFonts w:hint="eastAsia" w:ascii="宋体" w:hAnsi="宋体" w:cs="宋体"/>
                <w:b/>
                <w:bCs/>
                <w:i w:val="0"/>
                <w:color w:val="000000" w:themeColor="text1"/>
                <w:kern w:val="0"/>
                <w:sz w:val="20"/>
                <w:szCs w:val="20"/>
                <w:u w:val="none"/>
                <w:lang w:val="en-US" w:eastAsia="zh-CN" w:bidi="ar"/>
                <w14:textFill>
                  <w14:solidFill>
                    <w14:schemeClr w14:val="tx1"/>
                  </w14:solidFill>
                </w14:textFill>
              </w:rPr>
              <w:t>A</w:t>
            </w:r>
            <w:r>
              <w:rPr>
                <w:rFonts w:hint="eastAsia" w:ascii="宋体" w:hAnsi="宋体" w:eastAsia="宋体" w:cs="宋体"/>
                <w:b/>
                <w:bCs/>
                <w:i w:val="0"/>
                <w:color w:val="000000" w:themeColor="text1"/>
                <w:kern w:val="0"/>
                <w:sz w:val="20"/>
                <w:szCs w:val="20"/>
                <w:u w:val="none"/>
                <w:lang w:val="en-US" w:eastAsia="zh-CN" w:bidi="ar"/>
                <w14:textFill>
                  <w14:solidFill>
                    <w14:schemeClr w14:val="tx1"/>
                  </w14:solidFill>
                </w14:textFill>
              </w:rPr>
              <w:t>公司</w:t>
            </w:r>
          </w:p>
        </w:tc>
        <w:tc>
          <w:tcPr>
            <w:tcW w:w="705" w:type="dxa"/>
            <w:shd w:val="clear" w:color="auto" w:fill="auto"/>
            <w:vAlign w:val="center"/>
          </w:tcPr>
          <w:p w14:paraId="7162FA8D">
            <w:pPr>
              <w:keepNext w:val="0"/>
              <w:keepLines w:val="0"/>
              <w:widowControl/>
              <w:suppressLineNumbers w:val="0"/>
              <w:jc w:val="center"/>
              <w:textAlignment w:val="center"/>
              <w:rPr>
                <w:rFonts w:hint="eastAsia" w:ascii="宋体" w:hAnsi="宋体" w:eastAsia="宋体" w:cs="宋体"/>
                <w:b/>
                <w:bCs/>
                <w:i w:val="0"/>
                <w:color w:val="000000" w:themeColor="text1"/>
                <w:sz w:val="20"/>
                <w:szCs w:val="20"/>
                <w:u w:val="none"/>
                <w14:textFill>
                  <w14:solidFill>
                    <w14:schemeClr w14:val="tx1"/>
                  </w14:solidFill>
                </w14:textFill>
              </w:rPr>
            </w:pPr>
            <w:r>
              <w:rPr>
                <w:rFonts w:hint="eastAsia" w:ascii="宋体" w:hAnsi="宋体" w:cs="宋体"/>
                <w:b/>
                <w:bCs/>
                <w:i w:val="0"/>
                <w:color w:val="000000" w:themeColor="text1"/>
                <w:kern w:val="0"/>
                <w:sz w:val="20"/>
                <w:szCs w:val="20"/>
                <w:u w:val="none"/>
                <w:lang w:val="en-US" w:eastAsia="zh-CN" w:bidi="ar"/>
                <w14:textFill>
                  <w14:solidFill>
                    <w14:schemeClr w14:val="tx1"/>
                  </w14:solidFill>
                </w14:textFill>
              </w:rPr>
              <w:t>B</w:t>
            </w:r>
            <w:r>
              <w:rPr>
                <w:rFonts w:hint="eastAsia" w:ascii="宋体" w:hAnsi="宋体" w:eastAsia="宋体" w:cs="宋体"/>
                <w:b/>
                <w:bCs/>
                <w:i w:val="0"/>
                <w:color w:val="000000" w:themeColor="text1"/>
                <w:kern w:val="0"/>
                <w:sz w:val="20"/>
                <w:szCs w:val="20"/>
                <w:u w:val="none"/>
                <w:lang w:val="en-US" w:eastAsia="zh-CN" w:bidi="ar"/>
                <w14:textFill>
                  <w14:solidFill>
                    <w14:schemeClr w14:val="tx1"/>
                  </w14:solidFill>
                </w14:textFill>
              </w:rPr>
              <w:t>公司</w:t>
            </w:r>
          </w:p>
        </w:tc>
        <w:tc>
          <w:tcPr>
            <w:tcW w:w="660" w:type="dxa"/>
            <w:shd w:val="clear" w:color="auto" w:fill="auto"/>
            <w:vAlign w:val="center"/>
          </w:tcPr>
          <w:p w14:paraId="02DE8C2B">
            <w:pPr>
              <w:keepNext w:val="0"/>
              <w:keepLines w:val="0"/>
              <w:widowControl/>
              <w:suppressLineNumbers w:val="0"/>
              <w:jc w:val="center"/>
              <w:textAlignment w:val="center"/>
              <w:rPr>
                <w:rFonts w:hint="eastAsia" w:ascii="宋体" w:hAnsi="宋体" w:eastAsia="宋体" w:cs="宋体"/>
                <w:b/>
                <w:bCs/>
                <w:i w:val="0"/>
                <w:color w:val="000000" w:themeColor="text1"/>
                <w:sz w:val="20"/>
                <w:szCs w:val="20"/>
                <w:u w:val="none"/>
                <w14:textFill>
                  <w14:solidFill>
                    <w14:schemeClr w14:val="tx1"/>
                  </w14:solidFill>
                </w14:textFill>
              </w:rPr>
            </w:pPr>
            <w:r>
              <w:rPr>
                <w:rFonts w:hint="eastAsia" w:ascii="宋体" w:hAnsi="宋体" w:cs="宋体"/>
                <w:b/>
                <w:bCs/>
                <w:i w:val="0"/>
                <w:color w:val="000000" w:themeColor="text1"/>
                <w:kern w:val="0"/>
                <w:sz w:val="20"/>
                <w:szCs w:val="20"/>
                <w:u w:val="none"/>
                <w:lang w:val="en-US" w:eastAsia="zh-CN" w:bidi="ar"/>
                <w14:textFill>
                  <w14:solidFill>
                    <w14:schemeClr w14:val="tx1"/>
                  </w14:solidFill>
                </w14:textFill>
              </w:rPr>
              <w:t>C</w:t>
            </w:r>
            <w:r>
              <w:rPr>
                <w:rFonts w:hint="eastAsia" w:ascii="宋体" w:hAnsi="宋体" w:eastAsia="宋体" w:cs="宋体"/>
                <w:b/>
                <w:bCs/>
                <w:i w:val="0"/>
                <w:color w:val="000000" w:themeColor="text1"/>
                <w:kern w:val="0"/>
                <w:sz w:val="20"/>
                <w:szCs w:val="20"/>
                <w:u w:val="none"/>
                <w:lang w:val="en-US" w:eastAsia="zh-CN" w:bidi="ar"/>
                <w14:textFill>
                  <w14:solidFill>
                    <w14:schemeClr w14:val="tx1"/>
                  </w14:solidFill>
                </w14:textFill>
              </w:rPr>
              <w:t>公司</w:t>
            </w:r>
          </w:p>
        </w:tc>
        <w:tc>
          <w:tcPr>
            <w:tcW w:w="600" w:type="dxa"/>
            <w:shd w:val="clear" w:color="auto" w:fill="auto"/>
            <w:vAlign w:val="center"/>
          </w:tcPr>
          <w:p w14:paraId="2609DDCF">
            <w:pPr>
              <w:keepNext w:val="0"/>
              <w:keepLines w:val="0"/>
              <w:widowControl/>
              <w:suppressLineNumbers w:val="0"/>
              <w:jc w:val="center"/>
              <w:textAlignment w:val="center"/>
              <w:rPr>
                <w:rFonts w:hint="eastAsia" w:ascii="宋体" w:hAnsi="宋体" w:eastAsia="宋体" w:cs="宋体"/>
                <w:b/>
                <w:bCs/>
                <w:i w:val="0"/>
                <w:color w:val="000000" w:themeColor="text1"/>
                <w:sz w:val="20"/>
                <w:szCs w:val="20"/>
                <w:u w:val="none"/>
                <w14:textFill>
                  <w14:solidFill>
                    <w14:schemeClr w14:val="tx1"/>
                  </w14:solidFill>
                </w14:textFill>
              </w:rPr>
            </w:pPr>
            <w:r>
              <w:rPr>
                <w:rFonts w:hint="eastAsia" w:ascii="宋体" w:hAnsi="宋体" w:cs="宋体"/>
                <w:b/>
                <w:bCs/>
                <w:i w:val="0"/>
                <w:color w:val="000000" w:themeColor="text1"/>
                <w:kern w:val="0"/>
                <w:sz w:val="20"/>
                <w:szCs w:val="20"/>
                <w:u w:val="none"/>
                <w:lang w:val="en-US" w:eastAsia="zh-CN" w:bidi="ar"/>
                <w14:textFill>
                  <w14:solidFill>
                    <w14:schemeClr w14:val="tx1"/>
                  </w14:solidFill>
                </w14:textFill>
              </w:rPr>
              <w:t>D</w:t>
            </w:r>
            <w:r>
              <w:rPr>
                <w:rFonts w:hint="eastAsia" w:ascii="宋体" w:hAnsi="宋体" w:eastAsia="宋体" w:cs="宋体"/>
                <w:b/>
                <w:bCs/>
                <w:i w:val="0"/>
                <w:color w:val="000000" w:themeColor="text1"/>
                <w:kern w:val="0"/>
                <w:sz w:val="20"/>
                <w:szCs w:val="20"/>
                <w:u w:val="none"/>
                <w:lang w:val="en-US" w:eastAsia="zh-CN" w:bidi="ar"/>
                <w14:textFill>
                  <w14:solidFill>
                    <w14:schemeClr w14:val="tx1"/>
                  </w14:solidFill>
                </w14:textFill>
              </w:rPr>
              <w:t>公司</w:t>
            </w:r>
          </w:p>
        </w:tc>
      </w:tr>
      <w:tr w14:paraId="7ED7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586" w:hRule="atLeast"/>
          <w:jc w:val="center"/>
        </w:trPr>
        <w:tc>
          <w:tcPr>
            <w:tcW w:w="617" w:type="dxa"/>
            <w:shd w:val="clear" w:color="auto" w:fill="auto"/>
            <w:vAlign w:val="center"/>
          </w:tcPr>
          <w:p w14:paraId="47F2067C">
            <w:pPr>
              <w:keepNext w:val="0"/>
              <w:keepLines w:val="0"/>
              <w:widowControl/>
              <w:suppressLineNumbers w:val="0"/>
              <w:jc w:val="center"/>
              <w:textAlignment w:val="center"/>
              <w:rPr>
                <w:rFonts w:hint="default" w:ascii="Calibri" w:hAnsi="Calibri" w:eastAsia="宋体" w:cs="Calibri"/>
                <w:i w:val="0"/>
                <w:color w:val="000000" w:themeColor="text1"/>
                <w:sz w:val="20"/>
                <w:szCs w:val="20"/>
                <w:u w:val="none"/>
                <w14:textFill>
                  <w14:solidFill>
                    <w14:schemeClr w14:val="tx1"/>
                  </w14:solidFill>
                </w14:textFill>
              </w:rPr>
            </w:pPr>
            <w:r>
              <w:rPr>
                <w:rFonts w:hint="eastAsia" w:cs="Calibri"/>
                <w:i w:val="0"/>
                <w:color w:val="000000" w:themeColor="text1"/>
                <w:kern w:val="0"/>
                <w:sz w:val="20"/>
                <w:szCs w:val="20"/>
                <w:u w:val="none"/>
                <w:lang w:val="en-US" w:eastAsia="zh-CN" w:bidi="ar"/>
                <w14:textFill>
                  <w14:solidFill>
                    <w14:schemeClr w14:val="tx1"/>
                  </w14:solidFill>
                </w14:textFill>
              </w:rPr>
              <w:t>1</w:t>
            </w:r>
          </w:p>
        </w:tc>
        <w:tc>
          <w:tcPr>
            <w:tcW w:w="5954" w:type="dxa"/>
            <w:shd w:val="clear" w:color="auto" w:fill="auto"/>
            <w:vAlign w:val="center"/>
          </w:tcPr>
          <w:p w14:paraId="15BA1274">
            <w:pPr>
              <w:jc w:val="left"/>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1.报价单位需</w:t>
            </w:r>
            <w:r>
              <w:rPr>
                <w:rFonts w:hint="eastAsia" w:ascii="仿宋" w:hAnsi="仿宋" w:eastAsia="仿宋" w:cs="仿宋"/>
                <w:color w:val="000000" w:themeColor="text1"/>
                <w:sz w:val="21"/>
                <w:szCs w:val="21"/>
                <w14:textFill>
                  <w14:solidFill>
                    <w14:schemeClr w14:val="tx1"/>
                  </w14:solidFill>
                </w14:textFill>
              </w:rPr>
              <w:t>具有有效期内的CNAS证书</w:t>
            </w:r>
            <w:r>
              <w:rPr>
                <w:rFonts w:hint="eastAsia" w:ascii="仿宋" w:hAnsi="仿宋" w:eastAsia="仿宋" w:cs="仿宋"/>
                <w:color w:val="000000" w:themeColor="text1"/>
                <w:sz w:val="21"/>
                <w:szCs w:val="21"/>
                <w:lang w:eastAsia="zh-CN"/>
                <w14:textFill>
                  <w14:solidFill>
                    <w14:schemeClr w14:val="tx1"/>
                  </w14:solidFill>
                </w14:textFill>
              </w:rPr>
              <w:t>、</w:t>
            </w:r>
            <w:r>
              <w:rPr>
                <w:rFonts w:hint="eastAsia" w:ascii="仿宋" w:hAnsi="仿宋" w:eastAsia="仿宋" w:cs="仿宋"/>
                <w:color w:val="000000" w:themeColor="text1"/>
                <w:sz w:val="21"/>
                <w:szCs w:val="21"/>
                <w:lang w:val="en-US" w:eastAsia="zh-CN"/>
                <w14:textFill>
                  <w14:solidFill>
                    <w14:schemeClr w14:val="tx1"/>
                  </w14:solidFill>
                </w14:textFill>
              </w:rPr>
              <w:t>CMA证书和CATL证书（CNAS证书须提供获认可的能力范围见标有相同认可注册号的证</w:t>
            </w:r>
            <w:r>
              <w:rPr>
                <w:rFonts w:hint="eastAsia" w:ascii="仿宋" w:hAnsi="仿宋" w:eastAsia="仿宋" w:cs="仿宋"/>
                <w:color w:val="000000" w:themeColor="text1"/>
                <w:sz w:val="21"/>
                <w:szCs w:val="21"/>
                <w:highlight w:val="none"/>
                <w:lang w:val="en-US" w:eastAsia="zh-CN"/>
                <w14:textFill>
                  <w14:solidFill>
                    <w14:schemeClr w14:val="tx1"/>
                  </w14:solidFill>
                </w14:textFill>
              </w:rPr>
              <w:t>书附件）。</w:t>
            </w:r>
          </w:p>
          <w:p w14:paraId="0CF19D25">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outlineLvl w:val="9"/>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pPr>
            <w:r>
              <w:rPr>
                <w:rFonts w:hint="eastAsia" w:ascii="仿宋" w:hAnsi="仿宋" w:eastAsia="仿宋" w:cs="仿宋"/>
                <w:i w:val="0"/>
                <w:color w:val="000000" w:themeColor="text1"/>
                <w:kern w:val="0"/>
                <w:sz w:val="21"/>
                <w:szCs w:val="21"/>
                <w:highlight w:val="none"/>
                <w:u w:val="none"/>
                <w:lang w:val="en-US" w:eastAsia="zh-CN" w:bidi="ar"/>
                <w14:textFill>
                  <w14:solidFill>
                    <w14:schemeClr w14:val="tx1"/>
                  </w14:solidFill>
                </w14:textFill>
              </w:rPr>
              <w:t>2.</w:t>
            </w:r>
            <w:r>
              <w:rPr>
                <w:rFonts w:hint="eastAsia" w:ascii="仿宋" w:hAnsi="仿宋" w:eastAsia="仿宋" w:cs="仿宋"/>
                <w:color w:val="000000" w:themeColor="text1"/>
                <w:sz w:val="21"/>
                <w:szCs w:val="21"/>
                <w:highlight w:val="none"/>
                <w:lang w:val="en-US" w:eastAsia="zh-CN"/>
                <w14:textFill>
                  <w14:solidFill>
                    <w14:schemeClr w14:val="tx1"/>
                  </w14:solidFill>
                </w14:textFill>
              </w:rPr>
              <w:t>报价单位</w:t>
            </w:r>
            <w:r>
              <w:rPr>
                <w:rFonts w:hint="eastAsia" w:ascii="仿宋" w:hAnsi="仿宋" w:eastAsia="仿宋" w:cs="仿宋"/>
                <w:color w:val="000000" w:themeColor="text1"/>
                <w:sz w:val="21"/>
                <w:szCs w:val="21"/>
                <w:highlight w:val="none"/>
                <w14:textFill>
                  <w14:solidFill>
                    <w14:schemeClr w14:val="tx1"/>
                  </w14:solidFill>
                </w14:textFill>
              </w:rPr>
              <w:t>在</w:t>
            </w:r>
            <w:r>
              <w:rPr>
                <w:rFonts w:hint="eastAsia" w:ascii="仿宋" w:hAnsi="仿宋" w:eastAsia="仿宋" w:cs="仿宋"/>
                <w:color w:val="000000" w:themeColor="text1"/>
                <w:sz w:val="21"/>
                <w:szCs w:val="21"/>
                <w:highlight w:val="none"/>
                <w:lang w:val="en-US" w:eastAsia="zh-CN"/>
                <w14:textFill>
                  <w14:solidFill>
                    <w14:schemeClr w14:val="tx1"/>
                  </w14:solidFill>
                </w14:textFill>
              </w:rPr>
              <w:t>2020-</w:t>
            </w:r>
            <w:r>
              <w:rPr>
                <w:rFonts w:hint="eastAsia" w:ascii="仿宋" w:hAnsi="仿宋" w:eastAsia="仿宋" w:cs="仿宋"/>
                <w:color w:val="000000" w:themeColor="text1"/>
                <w:sz w:val="21"/>
                <w:szCs w:val="21"/>
                <w:highlight w:val="none"/>
                <w14:textFill>
                  <w14:solidFill>
                    <w14:schemeClr w14:val="tx1"/>
                  </w14:solidFill>
                </w14:textFill>
              </w:rPr>
              <w:t>202</w:t>
            </w:r>
            <w:r>
              <w:rPr>
                <w:rFonts w:hint="eastAsia" w:ascii="仿宋" w:hAnsi="仿宋" w:eastAsia="仿宋" w:cs="仿宋"/>
                <w:color w:val="000000" w:themeColor="text1"/>
                <w:sz w:val="21"/>
                <w:szCs w:val="21"/>
                <w:highlight w:val="none"/>
                <w:lang w:val="en-US" w:eastAsia="zh-CN"/>
                <w14:textFill>
                  <w14:solidFill>
                    <w14:schemeClr w14:val="tx1"/>
                  </w14:solidFill>
                </w14:textFill>
              </w:rPr>
              <w:t>5</w:t>
            </w:r>
            <w:r>
              <w:rPr>
                <w:rFonts w:hint="eastAsia" w:ascii="仿宋" w:hAnsi="仿宋" w:eastAsia="仿宋" w:cs="仿宋"/>
                <w:color w:val="000000" w:themeColor="text1"/>
                <w:sz w:val="21"/>
                <w:szCs w:val="21"/>
                <w:highlight w:val="none"/>
                <w14:textFill>
                  <w14:solidFill>
                    <w14:schemeClr w14:val="tx1"/>
                  </w14:solidFill>
                </w14:textFill>
              </w:rPr>
              <w:t>年以来</w:t>
            </w:r>
            <w:r>
              <w:rPr>
                <w:rFonts w:hint="eastAsia" w:ascii="仿宋" w:hAnsi="仿宋" w:eastAsia="仿宋" w:cs="仿宋"/>
                <w:color w:val="000000" w:themeColor="text1"/>
                <w:sz w:val="21"/>
                <w:szCs w:val="21"/>
                <w:highlight w:val="none"/>
                <w:lang w:val="en-US" w:eastAsia="zh-CN"/>
                <w14:textFill>
                  <w14:solidFill>
                    <w14:schemeClr w14:val="tx1"/>
                  </w14:solidFill>
                </w14:textFill>
              </w:rPr>
              <w:t>连续5年</w:t>
            </w:r>
            <w:r>
              <w:rPr>
                <w:rFonts w:hint="eastAsia" w:ascii="仿宋" w:hAnsi="仿宋" w:eastAsia="仿宋" w:cs="仿宋"/>
                <w:color w:val="000000" w:themeColor="text1"/>
                <w:sz w:val="21"/>
                <w:szCs w:val="21"/>
                <w:highlight w:val="none"/>
                <w14:textFill>
                  <w14:solidFill>
                    <w14:schemeClr w14:val="tx1"/>
                  </w14:solidFill>
                </w14:textFill>
              </w:rPr>
              <w:t>参加</w:t>
            </w:r>
            <w:r>
              <w:rPr>
                <w:rFonts w:hint="eastAsia" w:ascii="仿宋" w:hAnsi="仿宋" w:eastAsia="仿宋" w:cs="仿宋"/>
                <w:color w:val="000000" w:themeColor="text1"/>
                <w:sz w:val="21"/>
                <w:szCs w:val="21"/>
                <w:highlight w:val="none"/>
                <w:lang w:eastAsia="zh-CN"/>
                <w14:textFill>
                  <w14:solidFill>
                    <w14:schemeClr w14:val="tx1"/>
                  </w14:solidFill>
                </w14:textFill>
              </w:rPr>
              <w:t>广东</w:t>
            </w:r>
            <w:r>
              <w:rPr>
                <w:rFonts w:hint="eastAsia" w:ascii="仿宋" w:hAnsi="仿宋" w:eastAsia="仿宋" w:cs="仿宋"/>
                <w:color w:val="000000" w:themeColor="text1"/>
                <w:sz w:val="21"/>
                <w:szCs w:val="21"/>
                <w:highlight w:val="none"/>
                <w14:textFill>
                  <w14:solidFill>
                    <w14:schemeClr w14:val="tx1"/>
                  </w14:solidFill>
                </w14:textFill>
              </w:rPr>
              <w:t>省</w:t>
            </w:r>
            <w:r>
              <w:rPr>
                <w:rFonts w:hint="eastAsia" w:ascii="仿宋" w:hAnsi="仿宋" w:eastAsia="仿宋" w:cs="仿宋"/>
                <w:color w:val="000000" w:themeColor="text1"/>
                <w:sz w:val="21"/>
                <w:szCs w:val="21"/>
                <w:highlight w:val="none"/>
                <w:lang w:eastAsia="zh-CN"/>
                <w14:textFill>
                  <w14:solidFill>
                    <w14:schemeClr w14:val="tx1"/>
                  </w14:solidFill>
                </w14:textFill>
              </w:rPr>
              <w:t>农产品质量安全检测技术能力验证</w:t>
            </w:r>
            <w:r>
              <w:rPr>
                <w:rFonts w:hint="eastAsia" w:ascii="仿宋" w:hAnsi="仿宋" w:eastAsia="仿宋" w:cs="仿宋"/>
                <w:color w:val="000000" w:themeColor="text1"/>
                <w:sz w:val="21"/>
                <w:szCs w:val="21"/>
                <w:highlight w:val="none"/>
                <w14:textFill>
                  <w14:solidFill>
                    <w14:schemeClr w14:val="tx1"/>
                  </w14:solidFill>
                </w14:textFill>
              </w:rPr>
              <w:t>，考核等级为</w:t>
            </w:r>
            <w:r>
              <w:rPr>
                <w:rFonts w:hint="eastAsia" w:ascii="仿宋" w:hAnsi="仿宋" w:eastAsia="仿宋" w:cs="仿宋"/>
                <w:color w:val="000000" w:themeColor="text1"/>
                <w:sz w:val="21"/>
                <w:szCs w:val="21"/>
                <w:highlight w:val="none"/>
                <w:lang w:val="en-US" w:eastAsia="zh-CN"/>
                <w14:textFill>
                  <w14:solidFill>
                    <w14:schemeClr w14:val="tx1"/>
                  </w14:solidFill>
                </w14:textFill>
              </w:rPr>
              <w:t>4</w:t>
            </w:r>
            <w:r>
              <w:rPr>
                <w:rFonts w:hint="eastAsia" w:ascii="仿宋" w:hAnsi="仿宋" w:eastAsia="仿宋" w:cs="仿宋"/>
                <w:color w:val="000000" w:themeColor="text1"/>
                <w:sz w:val="21"/>
                <w:szCs w:val="21"/>
                <w:highlight w:val="none"/>
                <w14:textFill>
                  <w14:solidFill>
                    <w14:schemeClr w14:val="tx1"/>
                  </w14:solidFill>
                </w14:textFill>
              </w:rPr>
              <w:t>A</w:t>
            </w:r>
            <w:r>
              <w:rPr>
                <w:rFonts w:hint="eastAsia" w:ascii="仿宋" w:hAnsi="仿宋" w:eastAsia="仿宋" w:cs="仿宋"/>
                <w:color w:val="000000" w:themeColor="text1"/>
                <w:sz w:val="21"/>
                <w:szCs w:val="21"/>
                <w:highlight w:val="none"/>
                <w:lang w:eastAsia="zh-CN"/>
                <w14:textFill>
                  <w14:solidFill>
                    <w14:schemeClr w14:val="tx1"/>
                  </w14:solidFill>
                </w14:textFill>
              </w:rPr>
              <w:t>。</w:t>
            </w:r>
          </w:p>
        </w:tc>
        <w:tc>
          <w:tcPr>
            <w:tcW w:w="718" w:type="dxa"/>
            <w:shd w:val="clear" w:color="auto" w:fill="auto"/>
            <w:vAlign w:val="center"/>
          </w:tcPr>
          <w:p w14:paraId="64573FD9">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c>
          <w:tcPr>
            <w:tcW w:w="705" w:type="dxa"/>
            <w:shd w:val="clear" w:color="auto" w:fill="auto"/>
            <w:vAlign w:val="center"/>
          </w:tcPr>
          <w:p w14:paraId="2A25162B">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c>
          <w:tcPr>
            <w:tcW w:w="660" w:type="dxa"/>
            <w:shd w:val="clear" w:color="auto" w:fill="auto"/>
            <w:vAlign w:val="center"/>
          </w:tcPr>
          <w:p w14:paraId="0AA67671">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c>
          <w:tcPr>
            <w:tcW w:w="600" w:type="dxa"/>
            <w:shd w:val="clear" w:color="auto" w:fill="auto"/>
            <w:vAlign w:val="center"/>
          </w:tcPr>
          <w:p w14:paraId="5185B4C0">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r>
      <w:tr w14:paraId="7364D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82" w:hRule="atLeast"/>
          <w:jc w:val="center"/>
        </w:trPr>
        <w:tc>
          <w:tcPr>
            <w:tcW w:w="617" w:type="dxa"/>
            <w:shd w:val="clear" w:color="auto" w:fill="auto"/>
            <w:vAlign w:val="center"/>
          </w:tcPr>
          <w:p w14:paraId="3FCD0A45">
            <w:pPr>
              <w:keepNext w:val="0"/>
              <w:keepLines w:val="0"/>
              <w:widowControl/>
              <w:suppressLineNumbers w:val="0"/>
              <w:jc w:val="center"/>
              <w:textAlignment w:val="center"/>
              <w:rPr>
                <w:rFonts w:hint="default" w:ascii="Calibri" w:hAnsi="Calibri" w:eastAsia="宋体" w:cs="Calibri"/>
                <w:i w:val="0"/>
                <w:color w:val="000000" w:themeColor="text1"/>
                <w:sz w:val="20"/>
                <w:szCs w:val="20"/>
                <w:u w:val="none"/>
                <w14:textFill>
                  <w14:solidFill>
                    <w14:schemeClr w14:val="tx1"/>
                  </w14:solidFill>
                </w14:textFill>
              </w:rPr>
            </w:pPr>
            <w:r>
              <w:rPr>
                <w:rFonts w:hint="eastAsia" w:cs="Calibri"/>
                <w:i w:val="0"/>
                <w:color w:val="000000" w:themeColor="text1"/>
                <w:kern w:val="0"/>
                <w:sz w:val="20"/>
                <w:szCs w:val="20"/>
                <w:u w:val="none"/>
                <w:lang w:val="en-US" w:eastAsia="zh-CN" w:bidi="ar"/>
                <w14:textFill>
                  <w14:solidFill>
                    <w14:schemeClr w14:val="tx1"/>
                  </w14:solidFill>
                </w14:textFill>
              </w:rPr>
              <w:t>1</w:t>
            </w:r>
          </w:p>
        </w:tc>
        <w:tc>
          <w:tcPr>
            <w:tcW w:w="5954" w:type="dxa"/>
            <w:shd w:val="clear" w:color="auto" w:fill="auto"/>
            <w:vAlign w:val="center"/>
          </w:tcPr>
          <w:p w14:paraId="2642F1DA">
            <w:pPr>
              <w:spacing w:line="276" w:lineRule="auto"/>
              <w:rPr>
                <w:rFonts w:hint="eastAsia" w:ascii="仿宋" w:hAnsi="仿宋" w:eastAsia="仿宋" w:cs="仿宋"/>
                <w:i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投标人有</w:t>
            </w:r>
            <w:r>
              <w:rPr>
                <w:rFonts w:hint="eastAsia" w:ascii="仿宋" w:hAnsi="仿宋" w:eastAsia="仿宋" w:cs="仿宋"/>
                <w:i w:val="0"/>
                <w:color w:val="000000" w:themeColor="text1"/>
                <w:kern w:val="0"/>
                <w:sz w:val="21"/>
                <w:szCs w:val="21"/>
                <w:u w:val="none"/>
                <w:lang w:val="zh-CN" w:eastAsia="zh-CN" w:bidi="ar"/>
                <w14:textFill>
                  <w14:solidFill>
                    <w14:schemeClr w14:val="tx1"/>
                  </w14:solidFill>
                </w14:textFill>
              </w:rPr>
              <w:t>实验室或检测场所（以投标人通过CMA认证的实验室地址为准，提供实验室通过CMA认证的证明文件）。</w:t>
            </w:r>
          </w:p>
        </w:tc>
        <w:tc>
          <w:tcPr>
            <w:tcW w:w="718" w:type="dxa"/>
            <w:shd w:val="clear" w:color="auto" w:fill="auto"/>
            <w:vAlign w:val="center"/>
          </w:tcPr>
          <w:p w14:paraId="1A5BF0D0">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c>
          <w:tcPr>
            <w:tcW w:w="705" w:type="dxa"/>
            <w:shd w:val="clear" w:color="auto" w:fill="auto"/>
            <w:vAlign w:val="center"/>
          </w:tcPr>
          <w:p w14:paraId="5FC1588D">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c>
          <w:tcPr>
            <w:tcW w:w="660" w:type="dxa"/>
            <w:shd w:val="clear" w:color="auto" w:fill="auto"/>
            <w:vAlign w:val="center"/>
          </w:tcPr>
          <w:p w14:paraId="4DAA94EC">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c>
          <w:tcPr>
            <w:tcW w:w="600" w:type="dxa"/>
            <w:shd w:val="clear" w:color="auto" w:fill="auto"/>
            <w:vAlign w:val="center"/>
          </w:tcPr>
          <w:p w14:paraId="497D083E">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r>
      <w:tr w14:paraId="77F15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010" w:hRule="atLeast"/>
          <w:jc w:val="center"/>
        </w:trPr>
        <w:tc>
          <w:tcPr>
            <w:tcW w:w="617" w:type="dxa"/>
            <w:shd w:val="clear" w:color="auto" w:fill="auto"/>
            <w:vAlign w:val="center"/>
          </w:tcPr>
          <w:p w14:paraId="22843077">
            <w:pPr>
              <w:keepNext w:val="0"/>
              <w:keepLines w:val="0"/>
              <w:widowControl/>
              <w:suppressLineNumbers w:val="0"/>
              <w:jc w:val="center"/>
              <w:textAlignment w:val="center"/>
              <w:rPr>
                <w:rFonts w:hint="default" w:ascii="Calibri" w:hAnsi="Calibri" w:eastAsia="宋体" w:cs="Calibri"/>
                <w:i w:val="0"/>
                <w:color w:val="000000" w:themeColor="text1"/>
                <w:sz w:val="20"/>
                <w:szCs w:val="20"/>
                <w:u w:val="none"/>
                <w14:textFill>
                  <w14:solidFill>
                    <w14:schemeClr w14:val="tx1"/>
                  </w14:solidFill>
                </w14:textFill>
              </w:rPr>
            </w:pPr>
            <w:r>
              <w:rPr>
                <w:rFonts w:hint="eastAsia" w:cs="Calibri"/>
                <w:i w:val="0"/>
                <w:color w:val="000000" w:themeColor="text1"/>
                <w:kern w:val="0"/>
                <w:sz w:val="20"/>
                <w:szCs w:val="20"/>
                <w:u w:val="none"/>
                <w:lang w:val="en-US" w:eastAsia="zh-CN" w:bidi="ar"/>
                <w14:textFill>
                  <w14:solidFill>
                    <w14:schemeClr w14:val="tx1"/>
                  </w14:solidFill>
                </w14:textFill>
              </w:rPr>
              <w:t>3</w:t>
            </w:r>
          </w:p>
        </w:tc>
        <w:tc>
          <w:tcPr>
            <w:tcW w:w="5954" w:type="dxa"/>
            <w:shd w:val="clear" w:color="auto" w:fill="auto"/>
            <w:vAlign w:val="center"/>
          </w:tcPr>
          <w:p w14:paraId="6735A6C0">
            <w:pPr>
              <w:keepNext w:val="0"/>
              <w:keepLines w:val="0"/>
              <w:widowControl/>
              <w:suppressLineNumbers w:val="0"/>
              <w:jc w:val="both"/>
              <w:textAlignment w:val="center"/>
              <w:rPr>
                <w:rFonts w:hint="eastAsia" w:ascii="仿宋" w:hAnsi="仿宋" w:eastAsia="仿宋" w:cs="仿宋"/>
                <w:i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其他相关文件（1.质量保证措施方案2.售后服务方案、售后服务机构情况介绍3.交货、运输方案4检测及报告报送方案等以上文件如果过于简单，未能真实表述相关内容要求的视作不符合。）</w:t>
            </w:r>
          </w:p>
        </w:tc>
        <w:tc>
          <w:tcPr>
            <w:tcW w:w="718" w:type="dxa"/>
            <w:shd w:val="clear" w:color="auto" w:fill="auto"/>
            <w:vAlign w:val="center"/>
          </w:tcPr>
          <w:p w14:paraId="15BC9671">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c>
          <w:tcPr>
            <w:tcW w:w="705" w:type="dxa"/>
            <w:shd w:val="clear" w:color="auto" w:fill="auto"/>
            <w:vAlign w:val="center"/>
          </w:tcPr>
          <w:p w14:paraId="2B056151">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c>
          <w:tcPr>
            <w:tcW w:w="660" w:type="dxa"/>
            <w:shd w:val="clear" w:color="auto" w:fill="auto"/>
            <w:vAlign w:val="center"/>
          </w:tcPr>
          <w:p w14:paraId="3DD06B3D">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c>
          <w:tcPr>
            <w:tcW w:w="600" w:type="dxa"/>
            <w:shd w:val="clear" w:color="auto" w:fill="auto"/>
            <w:vAlign w:val="center"/>
          </w:tcPr>
          <w:p w14:paraId="2AF0BFCF">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r>
      <w:tr w14:paraId="4A7C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jc w:val="center"/>
        </w:trPr>
        <w:tc>
          <w:tcPr>
            <w:tcW w:w="617" w:type="dxa"/>
            <w:shd w:val="clear" w:color="auto" w:fill="auto"/>
            <w:vAlign w:val="center"/>
          </w:tcPr>
          <w:p w14:paraId="68B31BF2">
            <w:pPr>
              <w:keepNext w:val="0"/>
              <w:keepLines w:val="0"/>
              <w:widowControl/>
              <w:suppressLineNumbers w:val="0"/>
              <w:jc w:val="center"/>
              <w:textAlignment w:val="center"/>
              <w:rPr>
                <w:rFonts w:hint="default" w:ascii="Calibri" w:hAnsi="Calibri" w:eastAsia="宋体" w:cs="Calibri"/>
                <w:i w:val="0"/>
                <w:color w:val="000000" w:themeColor="text1"/>
                <w:sz w:val="20"/>
                <w:szCs w:val="20"/>
                <w:u w:val="none"/>
                <w:lang w:val="en-US"/>
                <w14:textFill>
                  <w14:solidFill>
                    <w14:schemeClr w14:val="tx1"/>
                  </w14:solidFill>
                </w14:textFill>
              </w:rPr>
            </w:pPr>
            <w:r>
              <w:rPr>
                <w:rFonts w:hint="eastAsia" w:cs="Calibri"/>
                <w:i w:val="0"/>
                <w:color w:val="000000" w:themeColor="text1"/>
                <w:kern w:val="0"/>
                <w:sz w:val="20"/>
                <w:szCs w:val="20"/>
                <w:u w:val="none"/>
                <w:lang w:val="en-US" w:eastAsia="zh-CN" w:bidi="ar"/>
                <w14:textFill>
                  <w14:solidFill>
                    <w14:schemeClr w14:val="tx1"/>
                  </w14:solidFill>
                </w14:textFill>
              </w:rPr>
              <w:t>4</w:t>
            </w:r>
          </w:p>
        </w:tc>
        <w:tc>
          <w:tcPr>
            <w:tcW w:w="5954" w:type="dxa"/>
            <w:shd w:val="clear" w:color="auto" w:fill="auto"/>
            <w:vAlign w:val="center"/>
          </w:tcPr>
          <w:p w14:paraId="592A6354">
            <w:pPr>
              <w:keepNext w:val="0"/>
              <w:keepLines w:val="0"/>
              <w:widowControl/>
              <w:suppressLineNumbers w:val="0"/>
              <w:jc w:val="both"/>
              <w:textAlignment w:val="center"/>
              <w:rPr>
                <w:rFonts w:hint="eastAsia" w:ascii="仿宋" w:hAnsi="仿宋" w:eastAsia="仿宋" w:cs="仿宋"/>
                <w:i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color w:val="000000" w:themeColor="text1"/>
                <w:sz w:val="21"/>
                <w:szCs w:val="21"/>
                <w:u w:val="none"/>
                <w:lang w:val="en-US" w:eastAsia="zh-CN"/>
                <w14:textFill>
                  <w14:solidFill>
                    <w14:schemeClr w14:val="tx1"/>
                  </w14:solidFill>
                </w14:textFill>
              </w:rPr>
              <w:t>承诺合同期间协助采购方举办不少于2次食品安全相关培训班，培训产生所有费用由中标方支付，提供承诺书</w:t>
            </w: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（加盖公章有效）。</w:t>
            </w:r>
          </w:p>
        </w:tc>
        <w:tc>
          <w:tcPr>
            <w:tcW w:w="718" w:type="dxa"/>
            <w:shd w:val="clear" w:color="auto" w:fill="auto"/>
            <w:vAlign w:val="center"/>
          </w:tcPr>
          <w:p w14:paraId="1C102F19">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c>
          <w:tcPr>
            <w:tcW w:w="705" w:type="dxa"/>
            <w:shd w:val="clear" w:color="auto" w:fill="auto"/>
            <w:vAlign w:val="center"/>
          </w:tcPr>
          <w:p w14:paraId="3A32C097">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c>
          <w:tcPr>
            <w:tcW w:w="660" w:type="dxa"/>
            <w:shd w:val="clear" w:color="auto" w:fill="auto"/>
            <w:vAlign w:val="center"/>
          </w:tcPr>
          <w:p w14:paraId="7B688453">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c>
          <w:tcPr>
            <w:tcW w:w="600" w:type="dxa"/>
            <w:shd w:val="clear" w:color="auto" w:fill="auto"/>
            <w:vAlign w:val="center"/>
          </w:tcPr>
          <w:p w14:paraId="5FC176B0">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r>
      <w:tr w14:paraId="4310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79" w:hRule="atLeast"/>
          <w:jc w:val="center"/>
        </w:trPr>
        <w:tc>
          <w:tcPr>
            <w:tcW w:w="617" w:type="dxa"/>
            <w:shd w:val="clear" w:color="auto" w:fill="auto"/>
            <w:vAlign w:val="center"/>
          </w:tcPr>
          <w:p w14:paraId="39A8FDF7">
            <w:pPr>
              <w:keepNext w:val="0"/>
              <w:keepLines w:val="0"/>
              <w:widowControl/>
              <w:suppressLineNumbers w:val="0"/>
              <w:jc w:val="center"/>
              <w:textAlignment w:val="center"/>
              <w:rPr>
                <w:rFonts w:hint="default" w:ascii="Calibri" w:hAnsi="Calibri" w:eastAsia="宋体" w:cs="Calibri"/>
                <w:i w:val="0"/>
                <w:color w:val="000000" w:themeColor="text1"/>
                <w:sz w:val="20"/>
                <w:szCs w:val="20"/>
                <w:u w:val="none"/>
                <w14:textFill>
                  <w14:solidFill>
                    <w14:schemeClr w14:val="tx1"/>
                  </w14:solidFill>
                </w14:textFill>
              </w:rPr>
            </w:pPr>
            <w:r>
              <w:rPr>
                <w:rFonts w:hint="eastAsia" w:cs="Calibri"/>
                <w:i w:val="0"/>
                <w:color w:val="000000" w:themeColor="text1"/>
                <w:kern w:val="0"/>
                <w:sz w:val="20"/>
                <w:szCs w:val="20"/>
                <w:u w:val="none"/>
                <w:lang w:val="en-US" w:eastAsia="zh-CN" w:bidi="ar"/>
                <w14:textFill>
                  <w14:solidFill>
                    <w14:schemeClr w14:val="tx1"/>
                  </w14:solidFill>
                </w14:textFill>
              </w:rPr>
              <w:t>5</w:t>
            </w:r>
          </w:p>
        </w:tc>
        <w:tc>
          <w:tcPr>
            <w:tcW w:w="5954" w:type="dxa"/>
            <w:shd w:val="clear" w:color="auto" w:fill="auto"/>
            <w:vAlign w:val="center"/>
          </w:tcPr>
          <w:p w14:paraId="3D8AA4AC">
            <w:pPr>
              <w:autoSpaceDE w:val="0"/>
              <w:autoSpaceDN w:val="0"/>
              <w:adjustRightInd w:val="0"/>
              <w:snapToGrid w:val="0"/>
              <w:spacing w:line="276" w:lineRule="auto"/>
              <w:rPr>
                <w:rFonts w:hint="default" w:ascii="仿宋" w:hAnsi="仿宋" w:eastAsia="仿宋" w:cs="仿宋"/>
                <w:i w:val="0"/>
                <w:color w:val="000000" w:themeColor="text1"/>
                <w:kern w:val="2"/>
                <w:sz w:val="21"/>
                <w:szCs w:val="21"/>
                <w:u w:val="none"/>
                <w:lang w:val="en-US" w:eastAsia="zh-CN" w:bidi="ar-SA"/>
                <w14:textFill>
                  <w14:solidFill>
                    <w14:schemeClr w14:val="tx1"/>
                  </w14:solidFill>
                </w14:textFill>
              </w:rPr>
            </w:pPr>
            <w:r>
              <w:rPr>
                <w:rFonts w:hint="eastAsia" w:ascii="仿宋" w:hAnsi="仿宋" w:eastAsia="仿宋" w:cs="仿宋"/>
                <w:i w:val="0"/>
                <w:color w:val="000000" w:themeColor="text1"/>
                <w:kern w:val="0"/>
                <w:sz w:val="21"/>
                <w:szCs w:val="21"/>
                <w:u w:val="none"/>
                <w:lang w:val="en-US" w:eastAsia="zh-CN" w:bidi="ar"/>
                <w14:textFill>
                  <w14:solidFill>
                    <w14:schemeClr w14:val="tx1"/>
                  </w14:solidFill>
                </w14:textFill>
              </w:rPr>
              <w:t>报价表</w:t>
            </w:r>
          </w:p>
        </w:tc>
        <w:tc>
          <w:tcPr>
            <w:tcW w:w="718" w:type="dxa"/>
            <w:shd w:val="clear" w:color="auto" w:fill="auto"/>
            <w:vAlign w:val="center"/>
          </w:tcPr>
          <w:p w14:paraId="2F32ED04">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c>
          <w:tcPr>
            <w:tcW w:w="705" w:type="dxa"/>
            <w:shd w:val="clear" w:color="auto" w:fill="auto"/>
            <w:vAlign w:val="center"/>
          </w:tcPr>
          <w:p w14:paraId="75529B4F">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c>
          <w:tcPr>
            <w:tcW w:w="660" w:type="dxa"/>
            <w:shd w:val="clear" w:color="auto" w:fill="auto"/>
            <w:vAlign w:val="center"/>
          </w:tcPr>
          <w:p w14:paraId="66F557E8">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c>
          <w:tcPr>
            <w:tcW w:w="600" w:type="dxa"/>
            <w:shd w:val="clear" w:color="auto" w:fill="auto"/>
            <w:vAlign w:val="center"/>
          </w:tcPr>
          <w:p w14:paraId="29B4ADF5">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r>
      <w:tr w14:paraId="07C47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10" w:hRule="atLeast"/>
          <w:jc w:val="center"/>
        </w:trPr>
        <w:tc>
          <w:tcPr>
            <w:tcW w:w="617" w:type="dxa"/>
            <w:shd w:val="clear" w:color="auto" w:fill="auto"/>
            <w:vAlign w:val="center"/>
          </w:tcPr>
          <w:p w14:paraId="6E6BD76E">
            <w:pPr>
              <w:keepNext w:val="0"/>
              <w:keepLines w:val="0"/>
              <w:widowControl/>
              <w:suppressLineNumbers w:val="0"/>
              <w:jc w:val="center"/>
              <w:textAlignment w:val="cente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color w:val="000000" w:themeColor="text1"/>
                <w:kern w:val="0"/>
                <w:sz w:val="20"/>
                <w:szCs w:val="20"/>
                <w:u w:val="none"/>
                <w:lang w:val="en-US" w:eastAsia="zh-CN" w:bidi="ar"/>
                <w14:textFill>
                  <w14:solidFill>
                    <w14:schemeClr w14:val="tx1"/>
                  </w14:solidFill>
                </w14:textFill>
              </w:rPr>
              <w:t>结果</w:t>
            </w:r>
          </w:p>
        </w:tc>
        <w:tc>
          <w:tcPr>
            <w:tcW w:w="5954" w:type="dxa"/>
            <w:shd w:val="clear" w:color="auto" w:fill="auto"/>
            <w:vAlign w:val="center"/>
          </w:tcPr>
          <w:p w14:paraId="792E3F9B">
            <w:pPr>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18" w:type="dxa"/>
            <w:shd w:val="clear" w:color="auto" w:fill="auto"/>
            <w:vAlign w:val="center"/>
          </w:tcPr>
          <w:p w14:paraId="03A909B7">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c>
          <w:tcPr>
            <w:tcW w:w="705" w:type="dxa"/>
            <w:shd w:val="clear" w:color="auto" w:fill="auto"/>
            <w:vAlign w:val="center"/>
          </w:tcPr>
          <w:p w14:paraId="439DDEA6">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c>
          <w:tcPr>
            <w:tcW w:w="660" w:type="dxa"/>
            <w:shd w:val="clear" w:color="auto" w:fill="auto"/>
            <w:vAlign w:val="center"/>
          </w:tcPr>
          <w:p w14:paraId="5762985E">
            <w:pPr>
              <w:jc w:val="both"/>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c>
          <w:tcPr>
            <w:tcW w:w="600" w:type="dxa"/>
            <w:shd w:val="clear" w:color="auto" w:fill="auto"/>
            <w:vAlign w:val="center"/>
          </w:tcPr>
          <w:p w14:paraId="45938A42">
            <w:pPr>
              <w:rPr>
                <w:rFonts w:hint="eastAsia" w:ascii="仿宋_GB2312" w:hAnsi="仿宋_GB2312" w:eastAsia="仿宋_GB2312" w:cs="仿宋_GB2312"/>
                <w:i w:val="0"/>
                <w:color w:val="000000" w:themeColor="text1"/>
                <w:sz w:val="24"/>
                <w:szCs w:val="24"/>
                <w:u w:val="none"/>
                <w14:textFill>
                  <w14:solidFill>
                    <w14:schemeClr w14:val="tx1"/>
                  </w14:solidFill>
                </w14:textFill>
              </w:rPr>
            </w:pPr>
          </w:p>
        </w:tc>
      </w:tr>
    </w:tbl>
    <w:p w14:paraId="1A7CC9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以上符合性审查项目评审标准为“通过”和“不通过”，通过的打“Ｏ”，不通过的打“×”。如对符合性审查评审中有一项不能通过评审，则最终评审结果为“不通过”。</w:t>
      </w:r>
      <w:r>
        <w:rPr>
          <w:rFonts w:hint="eastAsia" w:ascii="仿宋" w:hAnsi="仿宋" w:eastAsia="仿宋" w:cs="仿宋"/>
          <w:color w:val="000000" w:themeColor="text1"/>
          <w:sz w:val="32"/>
          <w:szCs w:val="32"/>
          <w:lang w:val="en-US" w:eastAsia="zh-CN"/>
          <w14:textFill>
            <w14:solidFill>
              <w14:schemeClr w14:val="tx1"/>
            </w14:solidFill>
          </w14:textFill>
        </w:rPr>
        <w:t>通过的进入报价评审环节。</w:t>
      </w:r>
    </w:p>
    <w:p w14:paraId="1349C16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b w:val="0"/>
          <w:bCs w:val="0"/>
          <w:color w:val="000000" w:themeColor="text1"/>
          <w:sz w:val="32"/>
          <w:szCs w:val="32"/>
          <w:lang w:val="en-US" w:eastAsia="zh-CN"/>
          <w14:textFill>
            <w14:solidFill>
              <w14:schemeClr w14:val="tx1"/>
            </w14:solidFill>
          </w14:textFill>
        </w:rPr>
      </w:pPr>
      <w:r>
        <w:rPr>
          <w:rFonts w:hint="eastAsia" w:ascii="楷体" w:hAnsi="楷体" w:eastAsia="楷体" w:cs="楷体"/>
          <w:b w:val="0"/>
          <w:bCs w:val="0"/>
          <w:color w:val="000000" w:themeColor="text1"/>
          <w:sz w:val="32"/>
          <w:szCs w:val="32"/>
          <w14:textFill>
            <w14:solidFill>
              <w14:schemeClr w14:val="tx1"/>
            </w14:solidFill>
          </w14:textFill>
        </w:rPr>
        <w:t>（二）</w:t>
      </w:r>
      <w:r>
        <w:rPr>
          <w:rFonts w:hint="eastAsia" w:ascii="楷体" w:hAnsi="楷体" w:eastAsia="楷体" w:cs="楷体"/>
          <w:b w:val="0"/>
          <w:bCs w:val="0"/>
          <w:color w:val="000000" w:themeColor="text1"/>
          <w:sz w:val="32"/>
          <w:szCs w:val="32"/>
          <w:lang w:val="en-US" w:eastAsia="zh-CN"/>
          <w14:textFill>
            <w14:solidFill>
              <w14:schemeClr w14:val="tx1"/>
            </w14:solidFill>
          </w14:textFill>
        </w:rPr>
        <w:t>报价评审</w:t>
      </w:r>
    </w:p>
    <w:p w14:paraId="0684820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评委对投标人进行符合性审查，同等条件下，选取所有检测项目的平均报价最低的投标人。</w:t>
      </w:r>
    </w:p>
    <w:p w14:paraId="3558CCE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表2：</w:t>
      </w:r>
      <w:r>
        <w:rPr>
          <w:rFonts w:hint="eastAsia" w:ascii="仿宋" w:hAnsi="仿宋" w:eastAsia="仿宋" w:cs="仿宋"/>
          <w:color w:val="000000" w:themeColor="text1"/>
          <w:sz w:val="32"/>
          <w:szCs w:val="32"/>
          <w:lang w:val="en-US" w:eastAsia="zh-CN"/>
          <w14:textFill>
            <w14:solidFill>
              <w14:schemeClr w14:val="tx1"/>
            </w14:solidFill>
          </w14:textFill>
        </w:rPr>
        <w:t>报价评审表</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2967"/>
        <w:gridCol w:w="3338"/>
        <w:gridCol w:w="1350"/>
      </w:tblGrid>
      <w:tr w14:paraId="6C76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vAlign w:val="center"/>
          </w:tcPr>
          <w:p w14:paraId="7E78E20B">
            <w:pPr>
              <w:spacing w:line="480" w:lineRule="exact"/>
              <w:jc w:val="center"/>
              <w:rPr>
                <w:rFonts w:hint="eastAsia" w:ascii="仿宋" w:hAnsi="仿宋" w:eastAsia="仿宋" w:cs="仿宋"/>
                <w:b/>
                <w:bCs/>
                <w:color w:val="000000" w:themeColor="text1"/>
                <w:sz w:val="28"/>
                <w:szCs w:val="28"/>
                <w:vertAlign w:val="baseline"/>
                <w:lang w:val="en-US" w:eastAsia="zh-CN"/>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序号</w:t>
            </w:r>
          </w:p>
        </w:tc>
        <w:tc>
          <w:tcPr>
            <w:tcW w:w="2967" w:type="dxa"/>
            <w:vAlign w:val="center"/>
          </w:tcPr>
          <w:p w14:paraId="2D7EF831">
            <w:pPr>
              <w:spacing w:line="480" w:lineRule="exact"/>
              <w:jc w:val="center"/>
              <w:rPr>
                <w:rFonts w:hint="eastAsia" w:ascii="仿宋" w:hAnsi="仿宋" w:eastAsia="仿宋" w:cs="仿宋"/>
                <w:b/>
                <w:bCs/>
                <w:color w:val="000000" w:themeColor="text1"/>
                <w:sz w:val="28"/>
                <w:szCs w:val="28"/>
                <w:vertAlign w:val="baseline"/>
                <w:lang w:val="en-US" w:eastAsia="zh-CN"/>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投标人公司</w:t>
            </w:r>
            <w:r>
              <w:rPr>
                <w:rFonts w:hint="eastAsia" w:ascii="仿宋" w:hAnsi="仿宋" w:eastAsia="仿宋" w:cs="仿宋"/>
                <w:b/>
                <w:bCs/>
                <w:color w:val="000000" w:themeColor="text1"/>
                <w:sz w:val="28"/>
                <w:szCs w:val="28"/>
                <w14:textFill>
                  <w14:solidFill>
                    <w14:schemeClr w14:val="tx1"/>
                  </w14:solidFill>
                </w14:textFill>
              </w:rPr>
              <w:t>名称</w:t>
            </w:r>
          </w:p>
        </w:tc>
        <w:tc>
          <w:tcPr>
            <w:tcW w:w="3338" w:type="dxa"/>
            <w:vAlign w:val="center"/>
          </w:tcPr>
          <w:p w14:paraId="240ED079">
            <w:pPr>
              <w:spacing w:line="480" w:lineRule="exact"/>
              <w:jc w:val="center"/>
              <w:rPr>
                <w:rFonts w:hint="eastAsia" w:ascii="仿宋" w:hAnsi="仿宋" w:eastAsia="仿宋" w:cs="仿宋"/>
                <w:b/>
                <w:bCs/>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六项单批次全部检测项目平均价（</w:t>
            </w:r>
            <w:r>
              <w:rPr>
                <w:rFonts w:hint="eastAsia" w:ascii="仿宋" w:hAnsi="仿宋" w:eastAsia="仿宋" w:cs="仿宋"/>
                <w:b/>
                <w:bCs/>
                <w:color w:val="000000" w:themeColor="text1"/>
                <w:sz w:val="28"/>
                <w:szCs w:val="28"/>
                <w:lang w:val="en-US" w:eastAsia="zh-CN"/>
                <w14:textFill>
                  <w14:solidFill>
                    <w14:schemeClr w14:val="tx1"/>
                  </w14:solidFill>
                </w14:textFill>
              </w:rPr>
              <w:t>元</w:t>
            </w:r>
            <w:r>
              <w:rPr>
                <w:rFonts w:hint="eastAsia" w:ascii="仿宋" w:hAnsi="仿宋" w:eastAsia="仿宋" w:cs="仿宋"/>
                <w:b/>
                <w:bCs/>
                <w:color w:val="000000" w:themeColor="text1"/>
                <w:sz w:val="28"/>
                <w:szCs w:val="28"/>
                <w14:textFill>
                  <w14:solidFill>
                    <w14:schemeClr w14:val="tx1"/>
                  </w14:solidFill>
                </w14:textFill>
              </w:rPr>
              <w:t>）</w:t>
            </w:r>
          </w:p>
        </w:tc>
        <w:tc>
          <w:tcPr>
            <w:tcW w:w="1350" w:type="dxa"/>
            <w:vAlign w:val="center"/>
          </w:tcPr>
          <w:p w14:paraId="065385B9">
            <w:pPr>
              <w:spacing w:line="480" w:lineRule="exact"/>
              <w:jc w:val="center"/>
              <w:rPr>
                <w:rFonts w:hint="eastAsia" w:ascii="仿宋" w:hAnsi="仿宋" w:eastAsia="仿宋" w:cs="仿宋"/>
                <w:b/>
                <w:bCs/>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备注</w:t>
            </w:r>
          </w:p>
        </w:tc>
      </w:tr>
      <w:tr w14:paraId="0708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vAlign w:val="center"/>
          </w:tcPr>
          <w:p w14:paraId="730DEC03">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r>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t>1</w:t>
            </w:r>
          </w:p>
        </w:tc>
        <w:tc>
          <w:tcPr>
            <w:tcW w:w="2967" w:type="dxa"/>
            <w:vAlign w:val="center"/>
          </w:tcPr>
          <w:p w14:paraId="59D88D4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c>
          <w:tcPr>
            <w:tcW w:w="3338" w:type="dxa"/>
            <w:vAlign w:val="center"/>
          </w:tcPr>
          <w:p w14:paraId="47D4F3DD">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c>
          <w:tcPr>
            <w:tcW w:w="1350" w:type="dxa"/>
            <w:vAlign w:val="center"/>
          </w:tcPr>
          <w:p w14:paraId="3C9A3B7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r>
      <w:tr w14:paraId="19DE0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vAlign w:val="center"/>
          </w:tcPr>
          <w:p w14:paraId="6F8CCC90">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r>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t>2</w:t>
            </w:r>
          </w:p>
        </w:tc>
        <w:tc>
          <w:tcPr>
            <w:tcW w:w="2967" w:type="dxa"/>
            <w:vAlign w:val="center"/>
          </w:tcPr>
          <w:p w14:paraId="08A8D59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c>
          <w:tcPr>
            <w:tcW w:w="3338" w:type="dxa"/>
            <w:vAlign w:val="center"/>
          </w:tcPr>
          <w:p w14:paraId="63EE530A">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c>
          <w:tcPr>
            <w:tcW w:w="1350" w:type="dxa"/>
            <w:vAlign w:val="center"/>
          </w:tcPr>
          <w:p w14:paraId="0A62745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r>
      <w:tr w14:paraId="6484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vAlign w:val="center"/>
          </w:tcPr>
          <w:p w14:paraId="7103BCF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r>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t>3</w:t>
            </w:r>
          </w:p>
        </w:tc>
        <w:tc>
          <w:tcPr>
            <w:tcW w:w="2967" w:type="dxa"/>
            <w:vAlign w:val="center"/>
          </w:tcPr>
          <w:p w14:paraId="7E5AA40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c>
          <w:tcPr>
            <w:tcW w:w="3338" w:type="dxa"/>
            <w:vAlign w:val="center"/>
          </w:tcPr>
          <w:p w14:paraId="3BA3CA9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c>
          <w:tcPr>
            <w:tcW w:w="1350" w:type="dxa"/>
            <w:vAlign w:val="center"/>
          </w:tcPr>
          <w:p w14:paraId="76E130C0">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r>
      <w:tr w14:paraId="47FBE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jc w:val="center"/>
        </w:trPr>
        <w:tc>
          <w:tcPr>
            <w:tcW w:w="8522" w:type="dxa"/>
            <w:gridSpan w:val="4"/>
            <w:vAlign w:val="center"/>
          </w:tcPr>
          <w:p w14:paraId="09EA5E1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left"/>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r>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t>结论：经过对上述x家公司的各项条件对比，xxxx公司在同类项目服务经验及服务费报价上较其他x家公司更有优势，更有利本项目服务的开展。因此，建议xxx公司为本项目的供应商。</w:t>
            </w:r>
          </w:p>
        </w:tc>
      </w:tr>
    </w:tbl>
    <w:p w14:paraId="68A18407">
      <w:pPr>
        <w:spacing w:line="560" w:lineRule="exact"/>
        <w:ind w:firstLine="640" w:firstLineChars="200"/>
        <w:rPr>
          <w:rFonts w:hint="eastAsia" w:ascii="楷体" w:hAnsi="楷体" w:eastAsia="楷体" w:cs="楷体"/>
          <w:b w:val="0"/>
          <w:bCs w:val="0"/>
          <w:color w:val="000000" w:themeColor="text1"/>
          <w:sz w:val="32"/>
          <w:szCs w:val="32"/>
          <w14:textFill>
            <w14:solidFill>
              <w14:schemeClr w14:val="tx1"/>
            </w14:solidFill>
          </w14:textFill>
        </w:rPr>
      </w:pPr>
      <w:r>
        <w:rPr>
          <w:rFonts w:hint="eastAsia" w:ascii="楷体" w:hAnsi="楷体" w:eastAsia="楷体" w:cs="楷体"/>
          <w:b w:val="0"/>
          <w:bCs w:val="0"/>
          <w:color w:val="000000" w:themeColor="text1"/>
          <w:sz w:val="32"/>
          <w:szCs w:val="32"/>
          <w14:textFill>
            <w14:solidFill>
              <w14:schemeClr w14:val="tx1"/>
            </w14:solidFill>
          </w14:textFill>
        </w:rPr>
        <w:t>（三）确定中标候选人</w:t>
      </w:r>
    </w:p>
    <w:p w14:paraId="7F5A63A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left"/>
        <w:textAlignment w:val="auto"/>
        <w:outlineLvl w:val="9"/>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pPr>
      <w:r>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t>按照符合性审查结果，按投标报价由低到高顺序排列，同等条件下，选取报价最低的投标人。</w:t>
      </w:r>
      <w:bookmarkStart w:id="1" w:name="_Hlk528938996"/>
    </w:p>
    <w:p w14:paraId="0A5DB62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六、</w:t>
      </w:r>
      <w:r>
        <w:rPr>
          <w:rFonts w:hint="eastAsia" w:ascii="黑体" w:hAnsi="黑体" w:eastAsia="黑体" w:cs="黑体"/>
          <w:b w:val="0"/>
          <w:bCs w:val="0"/>
          <w:color w:val="000000" w:themeColor="text1"/>
          <w:sz w:val="32"/>
          <w:szCs w:val="32"/>
          <w14:textFill>
            <w14:solidFill>
              <w14:schemeClr w14:val="tx1"/>
            </w14:solidFill>
          </w14:textFill>
        </w:rPr>
        <w:t>评审结果公示</w:t>
      </w:r>
      <w:bookmarkEnd w:id="0"/>
      <w:bookmarkEnd w:id="1"/>
    </w:p>
    <w:p w14:paraId="4C2167D3">
      <w:pPr>
        <w:adjustRightInd w:val="0"/>
        <w:snapToGrid w:val="0"/>
        <w:spacing w:line="560" w:lineRule="exact"/>
        <w:ind w:firstLine="640" w:firstLineChars="200"/>
        <w:jc w:val="left"/>
        <w:rPr>
          <w:rFonts w:ascii="仿宋" w:hAnsi="仿宋" w:eastAsia="仿宋" w:cs="Times New Roman"/>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评审结果将会在广州市花都区农业农村局网站进行公示。</w:t>
      </w:r>
    </w:p>
    <w:sectPr>
      <w:headerReference r:id="rId3" w:type="default"/>
      <w:footerReference r:id="rId4"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1F5EC">
    <w:pPr>
      <w:pStyle w:val="7"/>
      <w:rPr>
        <w:rFonts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30C828">
                          <w:pPr>
                            <w:pStyle w:val="7"/>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6030C828">
                    <w:pPr>
                      <w:pStyle w:val="7"/>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9E296">
    <w:pPr>
      <w:pStyle w:val="8"/>
      <w:pBdr>
        <w:bottom w:val="none" w:color="auto" w:sz="0" w:space="1"/>
      </w:pBdr>
      <w:jc w:val="both"/>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EzYzdlYjBlMzE4NWRiMzMzZmI1MTM0MjAzZGZhNmMifQ=="/>
  </w:docVars>
  <w:rsids>
    <w:rsidRoot w:val="00172A27"/>
    <w:rsid w:val="00092CE9"/>
    <w:rsid w:val="000D5469"/>
    <w:rsid w:val="000E3D9E"/>
    <w:rsid w:val="000F1236"/>
    <w:rsid w:val="00107E59"/>
    <w:rsid w:val="0013011A"/>
    <w:rsid w:val="001332A8"/>
    <w:rsid w:val="00184D8C"/>
    <w:rsid w:val="001B5505"/>
    <w:rsid w:val="001C3ED8"/>
    <w:rsid w:val="001D2BEC"/>
    <w:rsid w:val="00211540"/>
    <w:rsid w:val="00215BB2"/>
    <w:rsid w:val="00231044"/>
    <w:rsid w:val="0023544F"/>
    <w:rsid w:val="00235684"/>
    <w:rsid w:val="00265BD8"/>
    <w:rsid w:val="00266EB6"/>
    <w:rsid w:val="0028528E"/>
    <w:rsid w:val="002C31D5"/>
    <w:rsid w:val="002D4C80"/>
    <w:rsid w:val="002F6CD8"/>
    <w:rsid w:val="00300F71"/>
    <w:rsid w:val="0031063F"/>
    <w:rsid w:val="00321591"/>
    <w:rsid w:val="003219E9"/>
    <w:rsid w:val="00324DD6"/>
    <w:rsid w:val="003326DA"/>
    <w:rsid w:val="0034052D"/>
    <w:rsid w:val="003419B5"/>
    <w:rsid w:val="00351486"/>
    <w:rsid w:val="00364B5F"/>
    <w:rsid w:val="003721DE"/>
    <w:rsid w:val="003740E6"/>
    <w:rsid w:val="00374A95"/>
    <w:rsid w:val="003A0D67"/>
    <w:rsid w:val="003B537B"/>
    <w:rsid w:val="003C4990"/>
    <w:rsid w:val="003D4FF5"/>
    <w:rsid w:val="003D5A60"/>
    <w:rsid w:val="003E5501"/>
    <w:rsid w:val="0041206C"/>
    <w:rsid w:val="004211DE"/>
    <w:rsid w:val="00427D15"/>
    <w:rsid w:val="004327A8"/>
    <w:rsid w:val="00434242"/>
    <w:rsid w:val="00437207"/>
    <w:rsid w:val="00464E87"/>
    <w:rsid w:val="00484434"/>
    <w:rsid w:val="00493FB2"/>
    <w:rsid w:val="004A0B59"/>
    <w:rsid w:val="004B5D43"/>
    <w:rsid w:val="004C33F1"/>
    <w:rsid w:val="004D025A"/>
    <w:rsid w:val="00511B93"/>
    <w:rsid w:val="00536260"/>
    <w:rsid w:val="00556C14"/>
    <w:rsid w:val="00582EFE"/>
    <w:rsid w:val="005949A3"/>
    <w:rsid w:val="005D45D8"/>
    <w:rsid w:val="005F6FE5"/>
    <w:rsid w:val="00643D23"/>
    <w:rsid w:val="006500D3"/>
    <w:rsid w:val="00654898"/>
    <w:rsid w:val="0068592D"/>
    <w:rsid w:val="006C6722"/>
    <w:rsid w:val="006D484D"/>
    <w:rsid w:val="006F4A87"/>
    <w:rsid w:val="00701F6E"/>
    <w:rsid w:val="00707AA3"/>
    <w:rsid w:val="00783928"/>
    <w:rsid w:val="007966F0"/>
    <w:rsid w:val="007A0D32"/>
    <w:rsid w:val="007D40EA"/>
    <w:rsid w:val="007F0137"/>
    <w:rsid w:val="007F671A"/>
    <w:rsid w:val="00815B52"/>
    <w:rsid w:val="008167B1"/>
    <w:rsid w:val="00875638"/>
    <w:rsid w:val="008B08DD"/>
    <w:rsid w:val="008C0DA8"/>
    <w:rsid w:val="008C6ACF"/>
    <w:rsid w:val="008D3EFF"/>
    <w:rsid w:val="00906A16"/>
    <w:rsid w:val="00923B3D"/>
    <w:rsid w:val="00940B64"/>
    <w:rsid w:val="00952C3D"/>
    <w:rsid w:val="009542A4"/>
    <w:rsid w:val="00961563"/>
    <w:rsid w:val="00963D53"/>
    <w:rsid w:val="00967C39"/>
    <w:rsid w:val="0099149E"/>
    <w:rsid w:val="009918E9"/>
    <w:rsid w:val="009B690F"/>
    <w:rsid w:val="00A01753"/>
    <w:rsid w:val="00A21A12"/>
    <w:rsid w:val="00A25AAF"/>
    <w:rsid w:val="00A3157D"/>
    <w:rsid w:val="00A32030"/>
    <w:rsid w:val="00A511A5"/>
    <w:rsid w:val="00A577F6"/>
    <w:rsid w:val="00A60068"/>
    <w:rsid w:val="00A715F5"/>
    <w:rsid w:val="00A8255E"/>
    <w:rsid w:val="00A86ABB"/>
    <w:rsid w:val="00AA2D74"/>
    <w:rsid w:val="00AA5024"/>
    <w:rsid w:val="00AB1B95"/>
    <w:rsid w:val="00AE2C7D"/>
    <w:rsid w:val="00AE555D"/>
    <w:rsid w:val="00AF1672"/>
    <w:rsid w:val="00B24A18"/>
    <w:rsid w:val="00B273BD"/>
    <w:rsid w:val="00B632D1"/>
    <w:rsid w:val="00B807D9"/>
    <w:rsid w:val="00B811C9"/>
    <w:rsid w:val="00BC1133"/>
    <w:rsid w:val="00BF18B8"/>
    <w:rsid w:val="00C168C1"/>
    <w:rsid w:val="00C21A2A"/>
    <w:rsid w:val="00C22A1F"/>
    <w:rsid w:val="00C264FD"/>
    <w:rsid w:val="00C94A57"/>
    <w:rsid w:val="00C96B47"/>
    <w:rsid w:val="00C97A81"/>
    <w:rsid w:val="00CB4A4E"/>
    <w:rsid w:val="00CC7BA2"/>
    <w:rsid w:val="00CD2A4D"/>
    <w:rsid w:val="00CD4A35"/>
    <w:rsid w:val="00CF159C"/>
    <w:rsid w:val="00CF449D"/>
    <w:rsid w:val="00D07DBD"/>
    <w:rsid w:val="00D16070"/>
    <w:rsid w:val="00D675D0"/>
    <w:rsid w:val="00D76C92"/>
    <w:rsid w:val="00D76FA6"/>
    <w:rsid w:val="00D822E6"/>
    <w:rsid w:val="00D863DE"/>
    <w:rsid w:val="00DA6600"/>
    <w:rsid w:val="00DC6806"/>
    <w:rsid w:val="00E07BF4"/>
    <w:rsid w:val="00E87B43"/>
    <w:rsid w:val="00E94BEC"/>
    <w:rsid w:val="00EA02B9"/>
    <w:rsid w:val="00EB6889"/>
    <w:rsid w:val="00EC19DC"/>
    <w:rsid w:val="00EC392F"/>
    <w:rsid w:val="00EC5C88"/>
    <w:rsid w:val="00EE20A4"/>
    <w:rsid w:val="00F3012D"/>
    <w:rsid w:val="00F3745A"/>
    <w:rsid w:val="00F450E5"/>
    <w:rsid w:val="00F546E3"/>
    <w:rsid w:val="00F735BC"/>
    <w:rsid w:val="00F73B97"/>
    <w:rsid w:val="00F77588"/>
    <w:rsid w:val="00F9122E"/>
    <w:rsid w:val="00FA47B5"/>
    <w:rsid w:val="00FD0DE8"/>
    <w:rsid w:val="00FD3060"/>
    <w:rsid w:val="00FE62E2"/>
    <w:rsid w:val="00FF1E4F"/>
    <w:rsid w:val="01EF5213"/>
    <w:rsid w:val="025764D7"/>
    <w:rsid w:val="02997002"/>
    <w:rsid w:val="02C84055"/>
    <w:rsid w:val="02FF1087"/>
    <w:rsid w:val="03742BB2"/>
    <w:rsid w:val="03D1217D"/>
    <w:rsid w:val="03F82848"/>
    <w:rsid w:val="04DC0156"/>
    <w:rsid w:val="04DC7DA2"/>
    <w:rsid w:val="04FB7141"/>
    <w:rsid w:val="052649F9"/>
    <w:rsid w:val="06960F73"/>
    <w:rsid w:val="087D5842"/>
    <w:rsid w:val="0B1828E3"/>
    <w:rsid w:val="0C2830EA"/>
    <w:rsid w:val="0F226892"/>
    <w:rsid w:val="143E7D75"/>
    <w:rsid w:val="14776970"/>
    <w:rsid w:val="14E1472B"/>
    <w:rsid w:val="163343D7"/>
    <w:rsid w:val="18413DA0"/>
    <w:rsid w:val="18507BCC"/>
    <w:rsid w:val="1A0511D9"/>
    <w:rsid w:val="1B17701F"/>
    <w:rsid w:val="1BA231DE"/>
    <w:rsid w:val="1BE63E25"/>
    <w:rsid w:val="1D5814EA"/>
    <w:rsid w:val="240D45AC"/>
    <w:rsid w:val="27573E43"/>
    <w:rsid w:val="2D2C1716"/>
    <w:rsid w:val="2E7B1867"/>
    <w:rsid w:val="30D41EE0"/>
    <w:rsid w:val="30FD184B"/>
    <w:rsid w:val="3147764C"/>
    <w:rsid w:val="32A265DB"/>
    <w:rsid w:val="335B4BC5"/>
    <w:rsid w:val="33E41CA4"/>
    <w:rsid w:val="354A2041"/>
    <w:rsid w:val="35682E71"/>
    <w:rsid w:val="37A60A1D"/>
    <w:rsid w:val="38CB4E29"/>
    <w:rsid w:val="3A090F25"/>
    <w:rsid w:val="3A687478"/>
    <w:rsid w:val="3CF10966"/>
    <w:rsid w:val="3D802421"/>
    <w:rsid w:val="3E8956CA"/>
    <w:rsid w:val="3EA8612D"/>
    <w:rsid w:val="405B2475"/>
    <w:rsid w:val="40660BC7"/>
    <w:rsid w:val="40CD39F9"/>
    <w:rsid w:val="40E11007"/>
    <w:rsid w:val="40EA06EC"/>
    <w:rsid w:val="42261289"/>
    <w:rsid w:val="43AF2146"/>
    <w:rsid w:val="45D233DB"/>
    <w:rsid w:val="48765219"/>
    <w:rsid w:val="49912E44"/>
    <w:rsid w:val="499A34E3"/>
    <w:rsid w:val="4A1420A3"/>
    <w:rsid w:val="4A540FE7"/>
    <w:rsid w:val="4AFD1C3C"/>
    <w:rsid w:val="4BE514F3"/>
    <w:rsid w:val="4CBC34E6"/>
    <w:rsid w:val="4DBC100B"/>
    <w:rsid w:val="520E7CAC"/>
    <w:rsid w:val="53A760BF"/>
    <w:rsid w:val="53EC2EAA"/>
    <w:rsid w:val="54E25002"/>
    <w:rsid w:val="56010E07"/>
    <w:rsid w:val="584C7DC8"/>
    <w:rsid w:val="5BD84FFD"/>
    <w:rsid w:val="5C0A0792"/>
    <w:rsid w:val="5C3E3E30"/>
    <w:rsid w:val="5C6F3B2D"/>
    <w:rsid w:val="60B623D8"/>
    <w:rsid w:val="60F6186F"/>
    <w:rsid w:val="62A22585"/>
    <w:rsid w:val="649220B0"/>
    <w:rsid w:val="655265F9"/>
    <w:rsid w:val="66696571"/>
    <w:rsid w:val="66BB32BB"/>
    <w:rsid w:val="69B43200"/>
    <w:rsid w:val="6B307B69"/>
    <w:rsid w:val="6B8A4DA2"/>
    <w:rsid w:val="6DF91E73"/>
    <w:rsid w:val="6F7B5198"/>
    <w:rsid w:val="71286FBE"/>
    <w:rsid w:val="7748458E"/>
    <w:rsid w:val="784312FA"/>
    <w:rsid w:val="790439F2"/>
    <w:rsid w:val="792D40ED"/>
    <w:rsid w:val="7AA77607"/>
    <w:rsid w:val="7B3041E8"/>
    <w:rsid w:val="7BB22AE8"/>
    <w:rsid w:val="7BF514DC"/>
    <w:rsid w:val="7C1620AD"/>
    <w:rsid w:val="7F667D9E"/>
    <w:rsid w:val="7F8604C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13">
    <w:name w:val="Default Paragraph Font"/>
    <w:semiHidden/>
    <w:qFormat/>
    <w:uiPriority w:val="99"/>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next w:val="4"/>
    <w:qFormat/>
    <w:uiPriority w:val="0"/>
    <w:pPr>
      <w:spacing w:after="120"/>
    </w:pPr>
    <w:rPr>
      <w:kern w:val="0"/>
      <w:sz w:val="20"/>
    </w:rPr>
  </w:style>
  <w:style w:type="paragraph" w:styleId="4">
    <w:name w:val="Date"/>
    <w:basedOn w:val="1"/>
    <w:next w:val="1"/>
    <w:qFormat/>
    <w:uiPriority w:val="0"/>
    <w:rPr>
      <w:sz w:val="24"/>
      <w:szCs w:val="20"/>
    </w:rPr>
  </w:style>
  <w:style w:type="paragraph" w:styleId="5">
    <w:name w:val="Body Text Indent"/>
    <w:basedOn w:val="1"/>
    <w:next w:val="1"/>
    <w:qFormat/>
    <w:uiPriority w:val="0"/>
    <w:pPr>
      <w:autoSpaceDE/>
      <w:autoSpaceDN/>
      <w:adjustRightInd/>
      <w:spacing w:line="560" w:lineRule="exact"/>
      <w:ind w:left="300"/>
      <w:jc w:val="both"/>
    </w:pPr>
    <w:rPr>
      <w:kern w:val="2"/>
      <w:sz w:val="24"/>
      <w:szCs w:val="24"/>
    </w:rPr>
  </w:style>
  <w:style w:type="paragraph" w:styleId="6">
    <w:name w:val="Plain Text"/>
    <w:basedOn w:val="1"/>
    <w:link w:val="14"/>
    <w:qFormat/>
    <w:uiPriority w:val="99"/>
    <w:rPr>
      <w:rFonts w:ascii="宋体" w:hAnsi="Courier New" w:cs="宋体"/>
    </w:rPr>
  </w:style>
  <w:style w:type="paragraph" w:styleId="7">
    <w:name w:val="footer"/>
    <w:basedOn w:val="1"/>
    <w:link w:val="15"/>
    <w:semiHidden/>
    <w:qFormat/>
    <w:uiPriority w:val="99"/>
    <w:pPr>
      <w:tabs>
        <w:tab w:val="center" w:pos="4153"/>
        <w:tab w:val="right" w:pos="8306"/>
      </w:tabs>
      <w:snapToGrid w:val="0"/>
      <w:jc w:val="left"/>
    </w:pPr>
    <w:rPr>
      <w:sz w:val="18"/>
      <w:szCs w:val="18"/>
    </w:rPr>
  </w:style>
  <w:style w:type="paragraph" w:styleId="8">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First Indent"/>
    <w:basedOn w:val="3"/>
    <w:qFormat/>
    <w:uiPriority w:val="0"/>
    <w:pPr>
      <w:widowControl w:val="0"/>
      <w:adjustRightInd w:val="0"/>
      <w:snapToGrid w:val="0"/>
      <w:spacing w:before="40" w:after="40"/>
      <w:ind w:firstLine="200" w:firstLineChars="200"/>
      <w:jc w:val="both"/>
    </w:pPr>
    <w:rPr>
      <w:kern w:val="2"/>
      <w:sz w:val="24"/>
    </w:rPr>
  </w:style>
  <w:style w:type="paragraph" w:styleId="10">
    <w:name w:val="Body Text First Indent 2"/>
    <w:basedOn w:val="5"/>
    <w:next w:val="9"/>
    <w:qFormat/>
    <w:uiPriority w:val="0"/>
    <w:pPr>
      <w:widowControl w:val="0"/>
      <w:ind w:left="200" w:leftChars="0" w:firstLine="200"/>
      <w:jc w:val="both"/>
    </w:pPr>
    <w:rPr>
      <w:rFonts w:ascii="宋体" w:hAnsi="宋体"/>
      <w:kern w:val="2"/>
    </w:rPr>
  </w:style>
  <w:style w:type="table" w:styleId="12">
    <w:name w:val="Table Grid"/>
    <w:basedOn w:val="11"/>
    <w:qFormat/>
    <w:locked/>
    <w:uiPriority w:val="99"/>
    <w:pPr>
      <w:widowControl w:val="0"/>
      <w:jc w:val="both"/>
    </w:pPr>
    <w:rPr>
      <w:rFonts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Plain Text Char"/>
    <w:basedOn w:val="13"/>
    <w:link w:val="6"/>
    <w:qFormat/>
    <w:locked/>
    <w:uiPriority w:val="99"/>
    <w:rPr>
      <w:rFonts w:ascii="宋体" w:hAnsi="Courier New" w:cs="宋体"/>
      <w:kern w:val="2"/>
      <w:sz w:val="21"/>
      <w:szCs w:val="21"/>
    </w:rPr>
  </w:style>
  <w:style w:type="character" w:customStyle="1" w:styleId="15">
    <w:name w:val="Footer Char"/>
    <w:basedOn w:val="13"/>
    <w:link w:val="7"/>
    <w:semiHidden/>
    <w:qFormat/>
    <w:locked/>
    <w:uiPriority w:val="99"/>
    <w:rPr>
      <w:sz w:val="18"/>
      <w:szCs w:val="18"/>
    </w:rPr>
  </w:style>
  <w:style w:type="character" w:customStyle="1" w:styleId="16">
    <w:name w:val="Header Char"/>
    <w:basedOn w:val="13"/>
    <w:link w:val="8"/>
    <w:qFormat/>
    <w:locked/>
    <w:uiPriority w:val="99"/>
    <w:rPr>
      <w:sz w:val="18"/>
      <w:szCs w:val="18"/>
    </w:rPr>
  </w:style>
  <w:style w:type="paragraph" w:customStyle="1" w:styleId="17">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Microsoft</Company>
  <Pages>4</Pages>
  <Words>1795</Words>
  <Characters>1861</Characters>
  <Lines>0</Lines>
  <Paragraphs>0</Paragraphs>
  <TotalTime>15</TotalTime>
  <ScaleCrop>false</ScaleCrop>
  <LinksUpToDate>false</LinksUpToDate>
  <CharactersWithSpaces>1861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2022-01-26T07:53:00Z</dcterms:created>
  <dc:creator>admin</dc:creator>
  <cp:lastModifiedBy>郭慧玲</cp:lastModifiedBy>
  <cp:lastPrinted>2023-05-11T08:46:00Z</cp:lastPrinted>
  <dcterms:modified xsi:type="dcterms:W3CDTF">2026-07-08T07:41:46Z</dcterms:modified>
  <dc:title>附件2：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BCF9EF59C265497B8EFE15FA79CF84E3_12</vt:lpwstr>
  </property>
  <property fmtid="{D5CDD505-2E9C-101B-9397-08002B2CF9AE}" pid="4" name="KSOTemplateDocerSaveRecord">
    <vt:lpwstr>eyJoZGlkIjoiYjRmNjdhNzNlM2EzMDg4MTk0YWNiZTQwODNjYTI3MjkiLCJ1c2VySWQiOiIxNjQ1NTY5NDQzIn0=</vt:lpwstr>
  </property>
</Properties>
</file>