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FF4F1">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 w:hAnsi="仿宋" w:eastAsia="仿宋" w:cs="仿宋"/>
          <w:b w:val="0"/>
          <w:bCs w:val="0"/>
          <w:i w:val="0"/>
          <w:caps w:val="0"/>
          <w:color w:val="000000" w:themeColor="text1"/>
          <w:spacing w:val="0"/>
          <w:kern w:val="0"/>
          <w:sz w:val="32"/>
          <w:szCs w:val="32"/>
          <w:shd w:val="clear" w:fill="FFFFFF"/>
          <w:lang w:val="en-US" w:eastAsia="zh-CN" w:bidi="ar"/>
          <w14:textFill>
            <w14:solidFill>
              <w14:schemeClr w14:val="tx1"/>
            </w14:solidFill>
          </w14:textFill>
        </w:rPr>
      </w:pPr>
      <w:bookmarkStart w:id="0" w:name="_Hlk528933888"/>
      <w:r>
        <w:rPr>
          <w:rFonts w:hint="eastAsia" w:ascii="黑体" w:hAnsi="黑体" w:eastAsia="黑体" w:cs="黑体"/>
          <w:b w:val="0"/>
          <w:bCs w:val="0"/>
          <w:i w:val="0"/>
          <w:caps w:val="0"/>
          <w:color w:val="000000" w:themeColor="text1"/>
          <w:spacing w:val="0"/>
          <w:kern w:val="0"/>
          <w:sz w:val="32"/>
          <w:szCs w:val="32"/>
          <w:shd w:val="clear" w:fill="FFFFFF"/>
          <w:lang w:val="en-US" w:eastAsia="zh-CN" w:bidi="ar"/>
          <w14:textFill>
            <w14:solidFill>
              <w14:schemeClr w14:val="tx1"/>
            </w14:solidFill>
          </w14:textFill>
        </w:rPr>
        <w:t>附件2：</w:t>
      </w:r>
    </w:p>
    <w:p w14:paraId="5225AD17">
      <w:pPr>
        <w:keepNext w:val="0"/>
        <w:keepLines w:val="0"/>
        <w:pageBreakBefore w:val="0"/>
        <w:widowControl w:val="0"/>
        <w:kinsoku/>
        <w:wordWrap/>
        <w:overflowPunct/>
        <w:topLinePunct w:val="0"/>
        <w:autoSpaceDE/>
        <w:autoSpaceDN/>
        <w:bidi w:val="0"/>
        <w:spacing w:line="560" w:lineRule="exact"/>
        <w:jc w:val="center"/>
        <w:textAlignment w:val="auto"/>
        <w:rPr>
          <w:rFonts w:hint="eastAsia" w:asciiTheme="minorEastAsia" w:hAnsiTheme="minorEastAsia" w:eastAsiaTheme="minorEastAsia" w:cstheme="minorEastAsia"/>
          <w:b/>
          <w:bCs/>
          <w:i w:val="0"/>
          <w:caps w:val="0"/>
          <w:color w:val="000000" w:themeColor="text1"/>
          <w:spacing w:val="0"/>
          <w:kern w:val="0"/>
          <w:sz w:val="44"/>
          <w:szCs w:val="44"/>
          <w:shd w:val="clear" w:fill="FFFFFF"/>
          <w:lang w:val="en-US" w:eastAsia="zh-CN" w:bidi="ar"/>
          <w14:textFill>
            <w14:solidFill>
              <w14:schemeClr w14:val="tx1"/>
            </w14:solidFill>
          </w14:textFill>
        </w:rPr>
      </w:pPr>
    </w:p>
    <w:p w14:paraId="5B9B1E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广州市花都区动物卫生监督中心2026年动物疫病防控监测检测设备、试剂耗材采购项目</w:t>
      </w:r>
    </w:p>
    <w:p w14:paraId="334D37E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shd w:val="clear" w:fill="FFFFFF"/>
          <w:lang w:val="en-US" w:eastAsia="zh-CN" w:bidi="ar"/>
          <w14:textFill>
            <w14:solidFill>
              <w14:schemeClr w14:val="tx1"/>
            </w14:solidFill>
          </w14:textFill>
        </w:rPr>
        <w:t>评分方案</w:t>
      </w:r>
    </w:p>
    <w:p w14:paraId="5B777EC4">
      <w:pPr>
        <w:keepNext w:val="0"/>
        <w:keepLines w:val="0"/>
        <w:pageBreakBefore w:val="0"/>
        <w:widowControl w:val="0"/>
        <w:kinsoku/>
        <w:wordWrap/>
        <w:overflowPunct/>
        <w:topLinePunct w:val="0"/>
        <w:autoSpaceDE/>
        <w:autoSpaceDN/>
        <w:bidi w:val="0"/>
        <w:spacing w:line="560" w:lineRule="exact"/>
        <w:ind w:firstLine="883" w:firstLineChars="200"/>
        <w:textAlignment w:val="auto"/>
        <w:rPr>
          <w:rFonts w:ascii="宋体" w:cs="Times New Roman"/>
          <w:b/>
          <w:bCs/>
          <w:color w:val="000000" w:themeColor="text1"/>
          <w:sz w:val="44"/>
          <w:szCs w:val="44"/>
          <w14:textFill>
            <w14:solidFill>
              <w14:schemeClr w14:val="tx1"/>
            </w14:solidFill>
          </w14:textFill>
        </w:rPr>
      </w:pPr>
    </w:p>
    <w:p w14:paraId="164E62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b/>
          <w:bCs/>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一、评标小组</w:t>
      </w:r>
    </w:p>
    <w:p w14:paraId="6B23CC6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通过随机抽取的方式抽取区动物卫生监督中心政府采购项目评审成员库成员组成询价评审小组成员，局机关纪委派员担任项目监督员。</w:t>
      </w:r>
    </w:p>
    <w:p w14:paraId="39D8B6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二、评审方式</w:t>
      </w:r>
    </w:p>
    <w:p w14:paraId="118ADF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召开现场评审会，对投标人的</w:t>
      </w:r>
      <w:r>
        <w:rPr>
          <w:rFonts w:hint="eastAsia" w:ascii="仿宋" w:hAnsi="仿宋" w:eastAsia="仿宋" w:cs="仿宋"/>
          <w:color w:val="000000" w:themeColor="text1"/>
          <w:sz w:val="32"/>
          <w:szCs w:val="32"/>
          <w:lang w:val="en-US" w:eastAsia="zh-CN"/>
          <w14:textFill>
            <w14:solidFill>
              <w14:schemeClr w14:val="tx1"/>
            </w14:solidFill>
          </w14:textFill>
        </w:rPr>
        <w:t>报价材料</w:t>
      </w:r>
      <w:r>
        <w:rPr>
          <w:rFonts w:hint="eastAsia" w:ascii="仿宋" w:hAnsi="仿宋" w:eastAsia="仿宋" w:cs="仿宋"/>
          <w:color w:val="000000" w:themeColor="text1"/>
          <w:sz w:val="32"/>
          <w:szCs w:val="32"/>
          <w14:textFill>
            <w14:solidFill>
              <w14:schemeClr w14:val="tx1"/>
            </w14:solidFill>
          </w14:textFill>
        </w:rPr>
        <w:t>进行现场</w:t>
      </w:r>
      <w:r>
        <w:rPr>
          <w:rFonts w:hint="eastAsia" w:ascii="仿宋" w:hAnsi="仿宋" w:eastAsia="仿宋" w:cs="仿宋"/>
          <w:color w:val="000000" w:themeColor="text1"/>
          <w:sz w:val="32"/>
          <w:szCs w:val="32"/>
          <w:lang w:val="en-US" w:eastAsia="zh-CN"/>
          <w14:textFill>
            <w14:solidFill>
              <w14:schemeClr w14:val="tx1"/>
            </w14:solidFill>
          </w14:textFill>
        </w:rPr>
        <w:t>拆封</w:t>
      </w:r>
      <w:r>
        <w:rPr>
          <w:rFonts w:hint="eastAsia" w:ascii="仿宋" w:hAnsi="仿宋" w:eastAsia="仿宋" w:cs="仿宋"/>
          <w:color w:val="000000" w:themeColor="text1"/>
          <w:sz w:val="32"/>
          <w:szCs w:val="32"/>
          <w14:textFill>
            <w14:solidFill>
              <w14:schemeClr w14:val="tx1"/>
            </w14:solidFill>
          </w14:textFill>
        </w:rPr>
        <w:t>、评审，确定中标单位。</w:t>
      </w:r>
    </w:p>
    <w:p w14:paraId="49DD14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b/>
          <w:bCs/>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三、评审项目及控制价</w:t>
      </w:r>
    </w:p>
    <w:p w14:paraId="5442F86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lang w:val="en-US" w:eastAsia="zh-CN"/>
          <w14:textFill>
            <w14:solidFill>
              <w14:schemeClr w14:val="tx1"/>
            </w14:solidFill>
          </w14:textFill>
        </w:rPr>
        <w:t>评审项目：2026年动物疫病防控监测检测设备、试剂耗材采购项目</w:t>
      </w:r>
      <w:r>
        <w:rPr>
          <w:rFonts w:hint="eastAsia" w:ascii="仿宋" w:hAnsi="仿宋" w:eastAsia="仿宋" w:cs="仿宋"/>
          <w:color w:val="000000" w:themeColor="text1"/>
          <w:sz w:val="32"/>
          <w:szCs w:val="32"/>
          <w:lang w:eastAsia="zh-CN"/>
          <w14:textFill>
            <w14:solidFill>
              <w14:schemeClr w14:val="tx1"/>
            </w14:solidFill>
          </w14:textFill>
        </w:rPr>
        <w:t>。</w:t>
      </w:r>
    </w:p>
    <w:p w14:paraId="6138710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控制价</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不超过人民币30</w:t>
      </w:r>
      <w:r>
        <w:rPr>
          <w:rFonts w:hint="eastAsia" w:ascii="仿宋" w:hAnsi="仿宋" w:eastAsia="仿宋" w:cs="仿宋"/>
          <w:color w:val="000000" w:themeColor="text1"/>
          <w:sz w:val="32"/>
          <w:szCs w:val="32"/>
          <w14:textFill>
            <w14:solidFill>
              <w14:schemeClr w14:val="tx1"/>
            </w14:solidFill>
          </w14:textFill>
        </w:rPr>
        <w:t>万元</w:t>
      </w:r>
      <w:r>
        <w:rPr>
          <w:rFonts w:hint="eastAsia" w:ascii="仿宋" w:hAnsi="仿宋" w:eastAsia="仿宋" w:cs="仿宋"/>
          <w:color w:val="000000" w:themeColor="text1"/>
          <w:sz w:val="32"/>
          <w:szCs w:val="32"/>
          <w:lang w:eastAsia="zh-CN"/>
          <w14:textFill>
            <w14:solidFill>
              <w14:schemeClr w14:val="tx1"/>
            </w14:solidFill>
          </w14:textFill>
        </w:rPr>
        <w:t>。</w:t>
      </w:r>
    </w:p>
    <w:p w14:paraId="73F080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b/>
          <w:bCs/>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四、评审</w:t>
      </w:r>
      <w:r>
        <w:rPr>
          <w:rFonts w:hint="eastAsia" w:ascii="黑体" w:hAnsi="黑体" w:eastAsia="黑体" w:cs="黑体"/>
          <w:b w:val="0"/>
          <w:bCs w:val="0"/>
          <w:color w:val="000000" w:themeColor="text1"/>
          <w:sz w:val="32"/>
          <w:szCs w:val="32"/>
          <w:lang w:val="en-US" w:eastAsia="zh-CN"/>
          <w14:textFill>
            <w14:solidFill>
              <w14:schemeClr w14:val="tx1"/>
            </w14:solidFill>
          </w14:textFill>
        </w:rPr>
        <w:t>原则</w:t>
      </w:r>
    </w:p>
    <w:p w14:paraId="2EF2D1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default" w:ascii="仿宋" w:hAnsi="仿宋" w:eastAsia="仿宋" w:cs="仿宋"/>
          <w:color w:val="000000" w:themeColor="text1"/>
          <w:kern w:val="2"/>
          <w:sz w:val="32"/>
          <w:szCs w:val="32"/>
          <w:lang w:val="zh-CN" w:eastAsia="zh-CN" w:bidi="ar-SA"/>
          <w14:textFill>
            <w14:solidFill>
              <w14:schemeClr w14:val="tx1"/>
            </w14:solidFill>
          </w14:textFill>
        </w:rPr>
      </w:pPr>
      <w:r>
        <w:rPr>
          <w:rFonts w:hint="default" w:ascii="仿宋" w:hAnsi="仿宋" w:eastAsia="仿宋" w:cs="仿宋"/>
          <w:color w:val="000000" w:themeColor="text1"/>
          <w:kern w:val="2"/>
          <w:sz w:val="32"/>
          <w:szCs w:val="32"/>
          <w:lang w:val="zh-CN" w:eastAsia="zh-CN" w:bidi="ar-SA"/>
          <w14:textFill>
            <w14:solidFill>
              <w14:schemeClr w14:val="tx1"/>
            </w14:solidFill>
          </w14:textFill>
        </w:rPr>
        <w:t>在询价评审中，评委对投标人进行符合性审查</w:t>
      </w:r>
      <w:r>
        <w:rPr>
          <w:rFonts w:hint="eastAsia" w:ascii="仿宋" w:hAnsi="仿宋" w:eastAsia="仿宋" w:cs="仿宋"/>
          <w:color w:val="000000" w:themeColor="text1"/>
          <w:kern w:val="2"/>
          <w:sz w:val="32"/>
          <w:szCs w:val="32"/>
          <w:lang w:val="zh-CN" w:eastAsia="zh-CN" w:bidi="ar-SA"/>
          <w14:textFill>
            <w14:solidFill>
              <w14:schemeClr w14:val="tx1"/>
            </w14:solidFill>
          </w14:textFill>
        </w:rPr>
        <w:t>，在</w:t>
      </w:r>
      <w:r>
        <w:rPr>
          <w:rFonts w:hint="default" w:ascii="仿宋" w:hAnsi="仿宋" w:eastAsia="仿宋" w:cs="仿宋"/>
          <w:color w:val="000000" w:themeColor="text1"/>
          <w:kern w:val="2"/>
          <w:sz w:val="32"/>
          <w:szCs w:val="32"/>
          <w:lang w:val="zh-CN" w:eastAsia="zh-CN" w:bidi="ar-SA"/>
          <w14:textFill>
            <w14:solidFill>
              <w14:schemeClr w14:val="tx1"/>
            </w14:solidFill>
          </w14:textFill>
        </w:rPr>
        <w:t>同等条件下，选取报价最低的投标人。</w:t>
      </w:r>
    </w:p>
    <w:p w14:paraId="4454F4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、评审流程及标准</w:t>
      </w:r>
    </w:p>
    <w:p w14:paraId="2A2C9BA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（一）初步评审</w:t>
      </w:r>
    </w:p>
    <w:p w14:paraId="4DD13E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对</w:t>
      </w:r>
      <w:r>
        <w:rPr>
          <w:rFonts w:hint="eastAsia" w:ascii="仿宋" w:hAnsi="仿宋" w:eastAsia="仿宋" w:cs="仿宋"/>
          <w:color w:val="000000" w:themeColor="text1"/>
          <w:sz w:val="32"/>
          <w:szCs w:val="32"/>
          <w:lang w:val="en-US" w:eastAsia="zh-CN"/>
          <w14:textFill>
            <w14:solidFill>
              <w14:schemeClr w14:val="tx1"/>
            </w14:solidFill>
          </w14:textFill>
        </w:rPr>
        <w:t>投标人资格性</w:t>
      </w:r>
      <w:r>
        <w:rPr>
          <w:rFonts w:hint="eastAsia" w:ascii="仿宋" w:hAnsi="仿宋" w:eastAsia="仿宋" w:cs="仿宋"/>
          <w:color w:val="000000" w:themeColor="text1"/>
          <w:sz w:val="32"/>
          <w:szCs w:val="32"/>
          <w14:textFill>
            <w14:solidFill>
              <w14:schemeClr w14:val="tx1"/>
            </w14:solidFill>
          </w14:textFill>
        </w:rPr>
        <w:t>进行评审（见表1）</w:t>
      </w:r>
      <w:r>
        <w:rPr>
          <w:rFonts w:hint="eastAsia" w:ascii="仿宋" w:hAnsi="仿宋" w:eastAsia="仿宋" w:cs="仿宋"/>
          <w:color w:val="000000" w:themeColor="text1"/>
          <w:sz w:val="32"/>
          <w:szCs w:val="32"/>
          <w:lang w:eastAsia="zh-CN"/>
          <w14:textFill>
            <w14:solidFill>
              <w14:schemeClr w14:val="tx1"/>
            </w14:solidFill>
          </w14:textFill>
        </w:rPr>
        <w:t>。</w:t>
      </w:r>
    </w:p>
    <w:p w14:paraId="747E1561">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outlineLvl w:val="9"/>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表1：</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评审表</w:t>
      </w:r>
    </w:p>
    <w:tbl>
      <w:tblPr>
        <w:tblStyle w:val="11"/>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59"/>
        <w:gridCol w:w="5878"/>
        <w:gridCol w:w="750"/>
        <w:gridCol w:w="705"/>
        <w:gridCol w:w="840"/>
      </w:tblGrid>
      <w:tr w14:paraId="56BF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5" w:hRule="atLeast"/>
        </w:trPr>
        <w:tc>
          <w:tcPr>
            <w:tcW w:w="659" w:type="dxa"/>
            <w:vMerge w:val="restart"/>
            <w:shd w:val="clear" w:color="auto" w:fill="auto"/>
            <w:vAlign w:val="center"/>
          </w:tcPr>
          <w:p w14:paraId="6E46B1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序号</w:t>
            </w:r>
          </w:p>
        </w:tc>
        <w:tc>
          <w:tcPr>
            <w:tcW w:w="5878" w:type="dxa"/>
            <w:vMerge w:val="restart"/>
            <w:shd w:val="clear" w:color="auto" w:fill="auto"/>
            <w:vAlign w:val="center"/>
          </w:tcPr>
          <w:p w14:paraId="5D9AF3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资格</w:t>
            </w:r>
            <w:r>
              <w:rPr>
                <w:rFonts w:hint="eastAsia" w:ascii="宋体" w:hAnsi="宋体" w:cs="宋体"/>
                <w:b/>
                <w:bCs/>
                <w:i w:val="0"/>
                <w:color w:val="000000" w:themeColor="text1"/>
                <w:kern w:val="0"/>
                <w:sz w:val="21"/>
                <w:szCs w:val="21"/>
                <w:u w:val="none"/>
                <w:lang w:val="en-US" w:eastAsia="zh-CN" w:bidi="ar"/>
                <w14:textFill>
                  <w14:solidFill>
                    <w14:schemeClr w14:val="tx1"/>
                  </w14:solidFill>
                </w14:textFill>
              </w:rPr>
              <w:t>性</w:t>
            </w: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审查内容</w:t>
            </w:r>
          </w:p>
        </w:tc>
        <w:tc>
          <w:tcPr>
            <w:tcW w:w="2295" w:type="dxa"/>
            <w:gridSpan w:val="3"/>
            <w:shd w:val="clear" w:color="auto" w:fill="auto"/>
            <w:vAlign w:val="center"/>
          </w:tcPr>
          <w:p w14:paraId="2EA1CD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是否符合</w:t>
            </w:r>
          </w:p>
        </w:tc>
      </w:tr>
      <w:tr w14:paraId="7651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90" w:hRule="atLeast"/>
        </w:trPr>
        <w:tc>
          <w:tcPr>
            <w:tcW w:w="659" w:type="dxa"/>
            <w:vMerge w:val="continue"/>
            <w:shd w:val="clear" w:color="auto" w:fill="auto"/>
            <w:vAlign w:val="center"/>
          </w:tcPr>
          <w:p w14:paraId="5470D70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b/>
                <w:bCs/>
                <w:i w:val="0"/>
                <w:color w:val="000000" w:themeColor="text1"/>
                <w:sz w:val="21"/>
                <w:szCs w:val="21"/>
                <w:u w:val="none"/>
                <w14:textFill>
                  <w14:solidFill>
                    <w14:schemeClr w14:val="tx1"/>
                  </w14:solidFill>
                </w14:textFill>
              </w:rPr>
            </w:pPr>
          </w:p>
        </w:tc>
        <w:tc>
          <w:tcPr>
            <w:tcW w:w="5878" w:type="dxa"/>
            <w:vMerge w:val="continue"/>
            <w:shd w:val="clear" w:color="auto" w:fill="auto"/>
            <w:vAlign w:val="center"/>
          </w:tcPr>
          <w:p w14:paraId="550B63E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b/>
                <w:bCs/>
                <w:i w:val="0"/>
                <w:color w:val="000000" w:themeColor="text1"/>
                <w:sz w:val="21"/>
                <w:szCs w:val="21"/>
                <w:u w:val="none"/>
                <w14:textFill>
                  <w14:solidFill>
                    <w14:schemeClr w14:val="tx1"/>
                  </w14:solidFill>
                </w14:textFill>
              </w:rPr>
            </w:pPr>
          </w:p>
        </w:tc>
        <w:tc>
          <w:tcPr>
            <w:tcW w:w="750" w:type="dxa"/>
            <w:shd w:val="clear" w:color="auto" w:fill="auto"/>
            <w:vAlign w:val="center"/>
          </w:tcPr>
          <w:p w14:paraId="54A221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A公司</w:t>
            </w:r>
          </w:p>
        </w:tc>
        <w:tc>
          <w:tcPr>
            <w:tcW w:w="705" w:type="dxa"/>
            <w:shd w:val="clear" w:color="auto" w:fill="auto"/>
            <w:vAlign w:val="center"/>
          </w:tcPr>
          <w:p w14:paraId="045B1C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B公司</w:t>
            </w:r>
          </w:p>
        </w:tc>
        <w:tc>
          <w:tcPr>
            <w:tcW w:w="840" w:type="dxa"/>
            <w:shd w:val="clear" w:color="auto" w:fill="auto"/>
            <w:vAlign w:val="center"/>
          </w:tcPr>
          <w:p w14:paraId="4E4A81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D公司</w:t>
            </w:r>
          </w:p>
        </w:tc>
      </w:tr>
      <w:tr w14:paraId="2E1D5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116" w:hRule="atLeast"/>
        </w:trPr>
        <w:tc>
          <w:tcPr>
            <w:tcW w:w="659" w:type="dxa"/>
            <w:shd w:val="clear" w:color="auto" w:fill="auto"/>
            <w:vAlign w:val="center"/>
          </w:tcPr>
          <w:p w14:paraId="5A6FFB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1</w:t>
            </w:r>
          </w:p>
        </w:tc>
        <w:tc>
          <w:tcPr>
            <w:tcW w:w="5878" w:type="dxa"/>
            <w:shd w:val="clear" w:color="auto" w:fill="auto"/>
            <w:vAlign w:val="center"/>
          </w:tcPr>
          <w:p w14:paraId="2F597E32">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营业执照（或事业单位法人证书，或社会团体法人登记证书，或执业许可证）、组织机构代码证和税务登记证（或三证合一证明）复印件。</w:t>
            </w:r>
          </w:p>
        </w:tc>
        <w:tc>
          <w:tcPr>
            <w:tcW w:w="750" w:type="dxa"/>
            <w:shd w:val="clear" w:color="auto" w:fill="auto"/>
            <w:vAlign w:val="center"/>
          </w:tcPr>
          <w:p w14:paraId="0056341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1DBDA30D">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34DD2A1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127D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0" w:hRule="atLeast"/>
        </w:trPr>
        <w:tc>
          <w:tcPr>
            <w:tcW w:w="659" w:type="dxa"/>
            <w:shd w:val="clear" w:color="auto" w:fill="auto"/>
            <w:vAlign w:val="center"/>
          </w:tcPr>
          <w:p w14:paraId="210938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2</w:t>
            </w:r>
          </w:p>
        </w:tc>
        <w:tc>
          <w:tcPr>
            <w:tcW w:w="5878" w:type="dxa"/>
            <w:shd w:val="clear" w:color="auto" w:fill="auto"/>
            <w:vAlign w:val="center"/>
          </w:tcPr>
          <w:p w14:paraId="3255DB7B">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有良好的商业信誉和健全的财务会计制度（提供证明材料）。</w:t>
            </w:r>
          </w:p>
        </w:tc>
        <w:tc>
          <w:tcPr>
            <w:tcW w:w="750" w:type="dxa"/>
            <w:shd w:val="clear" w:color="auto" w:fill="auto"/>
            <w:vAlign w:val="center"/>
          </w:tcPr>
          <w:p w14:paraId="0CDE0D8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10DF14DC">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E8874E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58252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0" w:hRule="atLeast"/>
        </w:trPr>
        <w:tc>
          <w:tcPr>
            <w:tcW w:w="659" w:type="dxa"/>
            <w:shd w:val="clear" w:color="auto" w:fill="auto"/>
            <w:vAlign w:val="center"/>
          </w:tcPr>
          <w:p w14:paraId="0FCB10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3</w:t>
            </w:r>
          </w:p>
        </w:tc>
        <w:tc>
          <w:tcPr>
            <w:tcW w:w="5878" w:type="dxa"/>
            <w:shd w:val="clear" w:color="auto" w:fill="auto"/>
            <w:vAlign w:val="center"/>
          </w:tcPr>
          <w:p w14:paraId="6CDDBE1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具有履行合同所必需的设备和专业技术能力（提供承诺函并盖章）。</w:t>
            </w:r>
          </w:p>
        </w:tc>
        <w:tc>
          <w:tcPr>
            <w:tcW w:w="750" w:type="dxa"/>
            <w:shd w:val="clear" w:color="auto" w:fill="auto"/>
            <w:vAlign w:val="center"/>
          </w:tcPr>
          <w:p w14:paraId="11054E65">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72322FAF">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36F11914">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6FC5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0" w:hRule="atLeast"/>
        </w:trPr>
        <w:tc>
          <w:tcPr>
            <w:tcW w:w="659" w:type="dxa"/>
            <w:shd w:val="clear" w:color="auto" w:fill="auto"/>
            <w:vAlign w:val="center"/>
          </w:tcPr>
          <w:p w14:paraId="3B067E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4</w:t>
            </w:r>
          </w:p>
        </w:tc>
        <w:tc>
          <w:tcPr>
            <w:tcW w:w="5878" w:type="dxa"/>
            <w:shd w:val="clear" w:color="auto" w:fill="auto"/>
            <w:vAlign w:val="center"/>
          </w:tcPr>
          <w:p w14:paraId="65D884C0">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有依法缴纳税收和社会保障资金的良好记录（提供证明材料）。</w:t>
            </w:r>
          </w:p>
        </w:tc>
        <w:tc>
          <w:tcPr>
            <w:tcW w:w="750" w:type="dxa"/>
            <w:shd w:val="clear" w:color="auto" w:fill="auto"/>
            <w:vAlign w:val="center"/>
          </w:tcPr>
          <w:p w14:paraId="055A9940">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74801EC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3006EF88">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5E9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80" w:hRule="atLeast"/>
        </w:trPr>
        <w:tc>
          <w:tcPr>
            <w:tcW w:w="659" w:type="dxa"/>
            <w:shd w:val="clear" w:color="auto" w:fill="auto"/>
            <w:vAlign w:val="center"/>
          </w:tcPr>
          <w:p w14:paraId="7CA32F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5</w:t>
            </w:r>
          </w:p>
        </w:tc>
        <w:tc>
          <w:tcPr>
            <w:tcW w:w="5878" w:type="dxa"/>
            <w:shd w:val="clear" w:color="auto" w:fill="auto"/>
            <w:vAlign w:val="center"/>
          </w:tcPr>
          <w:p w14:paraId="54A43F78">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参加政府采购活动前三年内，在经营活动中没有重大违法记录（可提供承诺函）。</w:t>
            </w:r>
          </w:p>
        </w:tc>
        <w:tc>
          <w:tcPr>
            <w:tcW w:w="750" w:type="dxa"/>
            <w:shd w:val="clear" w:color="auto" w:fill="auto"/>
            <w:vAlign w:val="center"/>
          </w:tcPr>
          <w:p w14:paraId="50A46420">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00584882">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66DAAAD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C5E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480" w:hRule="atLeast"/>
        </w:trPr>
        <w:tc>
          <w:tcPr>
            <w:tcW w:w="659" w:type="dxa"/>
            <w:shd w:val="clear" w:color="auto" w:fill="auto"/>
            <w:vAlign w:val="center"/>
          </w:tcPr>
          <w:p w14:paraId="557B9E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6</w:t>
            </w:r>
          </w:p>
        </w:tc>
        <w:tc>
          <w:tcPr>
            <w:tcW w:w="5878" w:type="dxa"/>
            <w:shd w:val="clear" w:color="auto" w:fill="auto"/>
            <w:vAlign w:val="center"/>
          </w:tcPr>
          <w:p w14:paraId="2E394D06">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响应函（如果是法定代表人亲自签署响应文件，则提供法定代表人证明书；如不是法定代表人亲自签署响应文件，则须提供法定代表人证明书及法定代表人的授权书，须提交且签字有效、并加盖公章有效）。</w:t>
            </w:r>
          </w:p>
        </w:tc>
        <w:tc>
          <w:tcPr>
            <w:tcW w:w="750" w:type="dxa"/>
            <w:shd w:val="clear" w:color="auto" w:fill="auto"/>
            <w:vAlign w:val="center"/>
          </w:tcPr>
          <w:p w14:paraId="3CFFC1B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03A7126C">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E29E33C">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33AE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8" w:hRule="atLeast"/>
        </w:trPr>
        <w:tc>
          <w:tcPr>
            <w:tcW w:w="659" w:type="dxa"/>
            <w:shd w:val="clear" w:color="auto" w:fill="auto"/>
            <w:vAlign w:val="center"/>
          </w:tcPr>
          <w:p w14:paraId="0994E3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7</w:t>
            </w:r>
          </w:p>
        </w:tc>
        <w:tc>
          <w:tcPr>
            <w:tcW w:w="5878" w:type="dxa"/>
            <w:shd w:val="clear" w:color="auto" w:fill="auto"/>
            <w:vAlign w:val="center"/>
          </w:tcPr>
          <w:p w14:paraId="7F83A48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法定代表人证明书或法定代表人授权委托书、经办人复印件。</w:t>
            </w:r>
          </w:p>
        </w:tc>
        <w:tc>
          <w:tcPr>
            <w:tcW w:w="750" w:type="dxa"/>
            <w:shd w:val="clear" w:color="auto" w:fill="auto"/>
            <w:vAlign w:val="center"/>
          </w:tcPr>
          <w:p w14:paraId="0888102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4AEF269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63336FC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7694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60" w:hRule="atLeast"/>
        </w:trPr>
        <w:tc>
          <w:tcPr>
            <w:tcW w:w="659" w:type="dxa"/>
            <w:shd w:val="clear" w:color="auto" w:fill="auto"/>
            <w:vAlign w:val="center"/>
          </w:tcPr>
          <w:p w14:paraId="5B5F31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结果</w:t>
            </w:r>
          </w:p>
        </w:tc>
        <w:tc>
          <w:tcPr>
            <w:tcW w:w="5878" w:type="dxa"/>
            <w:shd w:val="clear" w:color="auto" w:fill="auto"/>
            <w:vAlign w:val="center"/>
          </w:tcPr>
          <w:p w14:paraId="66C90644">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750" w:type="dxa"/>
            <w:shd w:val="clear" w:color="auto" w:fill="auto"/>
            <w:vAlign w:val="center"/>
          </w:tcPr>
          <w:p w14:paraId="4B906F11">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705" w:type="dxa"/>
            <w:shd w:val="clear" w:color="auto" w:fill="auto"/>
            <w:vAlign w:val="center"/>
          </w:tcPr>
          <w:p w14:paraId="66562066">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840" w:type="dxa"/>
            <w:shd w:val="clear" w:color="auto" w:fill="auto"/>
            <w:vAlign w:val="center"/>
          </w:tcPr>
          <w:p w14:paraId="6711F66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themeColor="text1"/>
                <w:sz w:val="21"/>
                <w:szCs w:val="21"/>
                <w:u w:val="none"/>
                <w14:textFill>
                  <w14:solidFill>
                    <w14:schemeClr w14:val="tx1"/>
                  </w14:solidFill>
                </w14:textFill>
              </w:rPr>
            </w:pPr>
          </w:p>
        </w:tc>
      </w:tr>
    </w:tbl>
    <w:p w14:paraId="5560E0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以上</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审查项目评审标准为“通过”和“不通过”，通过的打“Ｏ”，不通过的打“×”。如对</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审查评审中有一项不能通过评审，则最终评审结果为“不通过”。</w:t>
      </w:r>
      <w:r>
        <w:rPr>
          <w:rFonts w:hint="eastAsia" w:ascii="仿宋" w:hAnsi="仿宋" w:eastAsia="仿宋" w:cs="仿宋"/>
          <w:color w:val="000000" w:themeColor="text1"/>
          <w:sz w:val="32"/>
          <w:szCs w:val="32"/>
          <w:lang w:val="en-US" w:eastAsia="zh-CN"/>
          <w14:textFill>
            <w14:solidFill>
              <w14:schemeClr w14:val="tx1"/>
            </w14:solidFill>
          </w14:textFill>
        </w:rPr>
        <w:t>通过的进入符合性评审环节。</w:t>
      </w:r>
    </w:p>
    <w:p w14:paraId="23962168">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2.对投标人符合性进行评审（见表2）</w:t>
      </w:r>
    </w:p>
    <w:p w14:paraId="05FA8FEF">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表</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：符合性</w:t>
      </w:r>
      <w:r>
        <w:rPr>
          <w:rFonts w:hint="eastAsia" w:ascii="仿宋" w:hAnsi="仿宋" w:eastAsia="仿宋" w:cs="仿宋"/>
          <w:color w:val="000000" w:themeColor="text1"/>
          <w:sz w:val="32"/>
          <w:szCs w:val="32"/>
          <w:lang w:val="en-US" w:eastAsia="zh-CN"/>
          <w14:textFill>
            <w14:solidFill>
              <w14:schemeClr w14:val="tx1"/>
            </w14:solidFill>
          </w14:textFill>
        </w:rPr>
        <w:t>审查</w:t>
      </w:r>
      <w:r>
        <w:rPr>
          <w:rFonts w:hint="eastAsia" w:ascii="仿宋" w:hAnsi="仿宋" w:eastAsia="仿宋" w:cs="仿宋"/>
          <w:color w:val="000000" w:themeColor="text1"/>
          <w:sz w:val="32"/>
          <w:szCs w:val="32"/>
          <w14:textFill>
            <w14:solidFill>
              <w14:schemeClr w14:val="tx1"/>
            </w14:solidFill>
          </w14:textFill>
        </w:rPr>
        <w:t>表</w:t>
      </w:r>
    </w:p>
    <w:tbl>
      <w:tblPr>
        <w:tblStyle w:val="11"/>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598"/>
        <w:gridCol w:w="5939"/>
        <w:gridCol w:w="750"/>
        <w:gridCol w:w="705"/>
        <w:gridCol w:w="840"/>
      </w:tblGrid>
      <w:tr w14:paraId="71F0E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55" w:hRule="atLeast"/>
        </w:trPr>
        <w:tc>
          <w:tcPr>
            <w:tcW w:w="598" w:type="dxa"/>
            <w:vMerge w:val="restart"/>
            <w:shd w:val="clear" w:color="auto" w:fill="auto"/>
            <w:vAlign w:val="center"/>
          </w:tcPr>
          <w:p w14:paraId="182671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序号</w:t>
            </w:r>
          </w:p>
        </w:tc>
        <w:tc>
          <w:tcPr>
            <w:tcW w:w="5939" w:type="dxa"/>
            <w:vMerge w:val="restart"/>
            <w:shd w:val="clear" w:color="auto" w:fill="auto"/>
            <w:vAlign w:val="center"/>
          </w:tcPr>
          <w:p w14:paraId="36393C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符合性审查内容</w:t>
            </w:r>
          </w:p>
        </w:tc>
        <w:tc>
          <w:tcPr>
            <w:tcW w:w="2295" w:type="dxa"/>
            <w:gridSpan w:val="3"/>
            <w:shd w:val="clear" w:color="auto" w:fill="auto"/>
            <w:vAlign w:val="center"/>
          </w:tcPr>
          <w:p w14:paraId="319F75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是否符合</w:t>
            </w:r>
          </w:p>
        </w:tc>
      </w:tr>
      <w:tr w14:paraId="2A8E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0" w:hRule="atLeast"/>
        </w:trPr>
        <w:tc>
          <w:tcPr>
            <w:tcW w:w="598" w:type="dxa"/>
            <w:vMerge w:val="continue"/>
            <w:shd w:val="clear" w:color="auto" w:fill="auto"/>
            <w:vAlign w:val="center"/>
          </w:tcPr>
          <w:p w14:paraId="69CA29C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b/>
                <w:bCs/>
                <w:i w:val="0"/>
                <w:color w:val="000000" w:themeColor="text1"/>
                <w:sz w:val="21"/>
                <w:szCs w:val="21"/>
                <w:u w:val="none"/>
                <w14:textFill>
                  <w14:solidFill>
                    <w14:schemeClr w14:val="tx1"/>
                  </w14:solidFill>
                </w14:textFill>
              </w:rPr>
            </w:pPr>
          </w:p>
        </w:tc>
        <w:tc>
          <w:tcPr>
            <w:tcW w:w="5939" w:type="dxa"/>
            <w:vMerge w:val="continue"/>
            <w:shd w:val="clear" w:color="auto" w:fill="auto"/>
            <w:vAlign w:val="center"/>
          </w:tcPr>
          <w:p w14:paraId="0B9FDA4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b/>
                <w:bCs/>
                <w:i w:val="0"/>
                <w:color w:val="000000" w:themeColor="text1"/>
                <w:sz w:val="21"/>
                <w:szCs w:val="21"/>
                <w:u w:val="none"/>
                <w14:textFill>
                  <w14:solidFill>
                    <w14:schemeClr w14:val="tx1"/>
                  </w14:solidFill>
                </w14:textFill>
              </w:rPr>
            </w:pPr>
          </w:p>
        </w:tc>
        <w:tc>
          <w:tcPr>
            <w:tcW w:w="750" w:type="dxa"/>
            <w:shd w:val="clear" w:color="auto" w:fill="auto"/>
            <w:vAlign w:val="center"/>
          </w:tcPr>
          <w:p w14:paraId="3B44C3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A公司</w:t>
            </w:r>
          </w:p>
        </w:tc>
        <w:tc>
          <w:tcPr>
            <w:tcW w:w="705" w:type="dxa"/>
            <w:shd w:val="clear" w:color="auto" w:fill="auto"/>
            <w:vAlign w:val="center"/>
          </w:tcPr>
          <w:p w14:paraId="182E7C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B公司</w:t>
            </w:r>
          </w:p>
        </w:tc>
        <w:tc>
          <w:tcPr>
            <w:tcW w:w="840" w:type="dxa"/>
            <w:shd w:val="clear" w:color="auto" w:fill="auto"/>
            <w:vAlign w:val="center"/>
          </w:tcPr>
          <w:p w14:paraId="2F5AE8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color w:val="000000" w:themeColor="text1"/>
                <w:sz w:val="21"/>
                <w:szCs w:val="21"/>
                <w:u w:val="none"/>
                <w14:textFill>
                  <w14:solidFill>
                    <w14:schemeClr w14:val="tx1"/>
                  </w14:solidFill>
                </w14:textFill>
              </w:rPr>
            </w:pPr>
            <w:r>
              <w:rPr>
                <w:rFonts w:hint="eastAsia" w:ascii="宋体" w:hAnsi="宋体" w:eastAsia="宋体" w:cs="宋体"/>
                <w:b/>
                <w:bCs/>
                <w:i w:val="0"/>
                <w:color w:val="000000" w:themeColor="text1"/>
                <w:kern w:val="0"/>
                <w:sz w:val="21"/>
                <w:szCs w:val="21"/>
                <w:u w:val="none"/>
                <w:lang w:val="en-US" w:eastAsia="zh-CN" w:bidi="ar"/>
                <w14:textFill>
                  <w14:solidFill>
                    <w14:schemeClr w14:val="tx1"/>
                  </w14:solidFill>
                </w14:textFill>
              </w:rPr>
              <w:t>D公司</w:t>
            </w:r>
          </w:p>
        </w:tc>
      </w:tr>
      <w:tr w14:paraId="6D5D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48" w:hRule="atLeast"/>
        </w:trPr>
        <w:tc>
          <w:tcPr>
            <w:tcW w:w="598" w:type="dxa"/>
            <w:shd w:val="clear" w:color="auto" w:fill="auto"/>
            <w:vAlign w:val="center"/>
          </w:tcPr>
          <w:p w14:paraId="319C26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1</w:t>
            </w:r>
          </w:p>
        </w:tc>
        <w:tc>
          <w:tcPr>
            <w:tcW w:w="5939" w:type="dxa"/>
            <w:shd w:val="clear" w:color="auto" w:fill="auto"/>
            <w:vAlign w:val="center"/>
          </w:tcPr>
          <w:p w14:paraId="4A7AE4F5">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响应的供应商若为试剂盒生产企业，须具有《兽药生产许可证》；若为代理商，需提供中华人民共和国兽药经营许可证（兽用生物制品范围）（提供相关证明材料）。</w:t>
            </w:r>
          </w:p>
        </w:tc>
        <w:tc>
          <w:tcPr>
            <w:tcW w:w="750" w:type="dxa"/>
            <w:shd w:val="clear" w:color="auto" w:fill="auto"/>
            <w:vAlign w:val="center"/>
          </w:tcPr>
          <w:p w14:paraId="63E5C27E">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33EFA9DF">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4B2DE7A5">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59A6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598" w:type="dxa"/>
            <w:shd w:val="clear" w:color="auto" w:fill="auto"/>
            <w:vAlign w:val="center"/>
          </w:tcPr>
          <w:p w14:paraId="6C7491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2</w:t>
            </w:r>
          </w:p>
        </w:tc>
        <w:tc>
          <w:tcPr>
            <w:tcW w:w="5939" w:type="dxa"/>
            <w:shd w:val="clear" w:color="auto" w:fill="auto"/>
            <w:vAlign w:val="center"/>
          </w:tcPr>
          <w:p w14:paraId="75B8A46D">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非洲猪瘟荧光PCR检测试剂盒、O型口蹄疫抗体液相阻断ELISA试剂盒、小反刍兽疫病毒ELISA抗体检测试剂盒需具有中华人民共和国农业农村部兽药产品批准文号。（提供批准文号证书等相关证明材料）。</w:t>
            </w:r>
          </w:p>
        </w:tc>
        <w:tc>
          <w:tcPr>
            <w:tcW w:w="750" w:type="dxa"/>
            <w:shd w:val="clear" w:color="auto" w:fill="auto"/>
            <w:vAlign w:val="center"/>
          </w:tcPr>
          <w:p w14:paraId="34C444C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73E2CF9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52CC6EE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53F0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598" w:type="dxa"/>
            <w:shd w:val="clear" w:color="auto" w:fill="auto"/>
            <w:vAlign w:val="center"/>
          </w:tcPr>
          <w:p w14:paraId="2DBE13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3</w:t>
            </w:r>
          </w:p>
        </w:tc>
        <w:tc>
          <w:tcPr>
            <w:tcW w:w="5939" w:type="dxa"/>
            <w:shd w:val="clear" w:color="auto" w:fill="auto"/>
            <w:vAlign w:val="center"/>
          </w:tcPr>
          <w:p w14:paraId="28B7E97D">
            <w:pPr>
              <w:keepNext w:val="0"/>
              <w:keepLines w:val="0"/>
              <w:widowControl/>
              <w:suppressLineNumbers w:val="0"/>
              <w:jc w:val="both"/>
              <w:textAlignment w:val="center"/>
              <w:rPr>
                <w:rFonts w:hint="default"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货物序号14-18产品需适用于天隆Gentier 32R多通道实时荧光定量PCR仪。（提供承诺函加盖公章有效）。</w:t>
            </w:r>
          </w:p>
        </w:tc>
        <w:tc>
          <w:tcPr>
            <w:tcW w:w="750" w:type="dxa"/>
            <w:shd w:val="clear" w:color="auto" w:fill="auto"/>
            <w:vAlign w:val="center"/>
          </w:tcPr>
          <w:p w14:paraId="39907852">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5421F19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6CB5972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C66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06" w:hRule="atLeast"/>
        </w:trPr>
        <w:tc>
          <w:tcPr>
            <w:tcW w:w="598" w:type="dxa"/>
            <w:shd w:val="clear" w:color="auto" w:fill="auto"/>
            <w:vAlign w:val="center"/>
          </w:tcPr>
          <w:p w14:paraId="4611B5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4</w:t>
            </w:r>
          </w:p>
        </w:tc>
        <w:tc>
          <w:tcPr>
            <w:tcW w:w="5939" w:type="dxa"/>
            <w:shd w:val="clear" w:color="auto" w:fill="auto"/>
            <w:vAlign w:val="center"/>
          </w:tcPr>
          <w:p w14:paraId="725DBC6B">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磁珠法提取试剂盒须提供说明书原件或复印件，说明书参数需满足采购人产品参数要求。（提供说明书原件或复印件作为证明材料并加盖公章）。</w:t>
            </w:r>
          </w:p>
        </w:tc>
        <w:tc>
          <w:tcPr>
            <w:tcW w:w="750" w:type="dxa"/>
            <w:shd w:val="clear" w:color="auto" w:fill="auto"/>
            <w:vAlign w:val="center"/>
          </w:tcPr>
          <w:p w14:paraId="3C86239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67D94238">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38A9AD64">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6933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245" w:hRule="atLeast"/>
        </w:trPr>
        <w:tc>
          <w:tcPr>
            <w:tcW w:w="598" w:type="dxa"/>
            <w:shd w:val="clear" w:color="auto" w:fill="auto"/>
            <w:vAlign w:val="center"/>
          </w:tcPr>
          <w:p w14:paraId="0F4F90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5</w:t>
            </w:r>
          </w:p>
        </w:tc>
        <w:tc>
          <w:tcPr>
            <w:tcW w:w="5939" w:type="dxa"/>
            <w:shd w:val="clear" w:color="auto" w:fill="auto"/>
            <w:vAlign w:val="center"/>
          </w:tcPr>
          <w:p w14:paraId="72D30EC7">
            <w:pPr>
              <w:keepNext w:val="0"/>
              <w:keepLines w:val="0"/>
              <w:widowControl/>
              <w:suppressLineNumbers w:val="0"/>
              <w:jc w:val="left"/>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所投医用外科口罩应符合医疗器械生产许可要求，包装上必须标注医疗器械注册证编号。（提供包装图片）</w:t>
            </w:r>
          </w:p>
          <w:p w14:paraId="35FC2532">
            <w:pPr>
              <w:keepNext w:val="0"/>
              <w:keepLines w:val="0"/>
              <w:widowControl/>
              <w:suppressLineNumbers w:val="0"/>
              <w:jc w:val="left"/>
              <w:rPr>
                <w:rFonts w:hint="default"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投标人若为经销商还须提供第二类医疗器械经营备案凭证或承诺签订合同前取得第二类医疗器械经营备案凭证（提供第二类医疗器械经营备案凭证或承诺函，加盖投标人公章，如国家另有规定，则适用其规定，须在响应文件内提供证明文件复印件并盖章）。</w:t>
            </w:r>
          </w:p>
        </w:tc>
        <w:tc>
          <w:tcPr>
            <w:tcW w:w="750" w:type="dxa"/>
            <w:shd w:val="clear" w:color="auto" w:fill="auto"/>
            <w:vAlign w:val="center"/>
          </w:tcPr>
          <w:p w14:paraId="0516570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1EBA9242">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1130398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3EF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45" w:hRule="atLeast"/>
        </w:trPr>
        <w:tc>
          <w:tcPr>
            <w:tcW w:w="598" w:type="dxa"/>
            <w:shd w:val="clear" w:color="auto" w:fill="auto"/>
            <w:vAlign w:val="center"/>
          </w:tcPr>
          <w:p w14:paraId="595133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6</w:t>
            </w:r>
          </w:p>
        </w:tc>
        <w:tc>
          <w:tcPr>
            <w:tcW w:w="5939" w:type="dxa"/>
            <w:shd w:val="clear" w:color="auto" w:fill="auto"/>
            <w:vAlign w:val="center"/>
          </w:tcPr>
          <w:p w14:paraId="213F8213">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供应商需为采购人提供兽用诊断制品的使用、试验结果判定分析研究、特殊情况应急处置方面的咨询和技术支持服务，为本项目配置具备履约能力的具有专业知识的售后服务人员和技术支持人员、仪器设备，其中特殊情况应急试剂需24小时送达。（提供具备畜牧兽医等专业背景本科及以上售后技术人员学历资料及近半年社保证明，提供能满足本条款的其他人员及仪器清单，加盖公章有效）。</w:t>
            </w:r>
          </w:p>
        </w:tc>
        <w:tc>
          <w:tcPr>
            <w:tcW w:w="750" w:type="dxa"/>
            <w:shd w:val="clear" w:color="auto" w:fill="auto"/>
            <w:vAlign w:val="center"/>
          </w:tcPr>
          <w:p w14:paraId="2A2F7B2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5B2474CB">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1049930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466B8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15" w:hRule="atLeast"/>
        </w:trPr>
        <w:tc>
          <w:tcPr>
            <w:tcW w:w="598" w:type="dxa"/>
            <w:shd w:val="clear" w:color="auto" w:fill="auto"/>
            <w:vAlign w:val="center"/>
          </w:tcPr>
          <w:p w14:paraId="0C8A23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7</w:t>
            </w:r>
          </w:p>
        </w:tc>
        <w:tc>
          <w:tcPr>
            <w:tcW w:w="5939" w:type="dxa"/>
            <w:shd w:val="clear" w:color="auto" w:fill="auto"/>
            <w:vAlign w:val="center"/>
          </w:tcPr>
          <w:p w14:paraId="4617E407">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所投产品（口蹄疫O型/A型抗体液相阻断ELISA检测试剂盒）由口蹄疫疫病相关研究机构（包括但不限于参考实验室/专业/区域实验室等）提供技术支持，（提供承诺函加盖公章有效）。</w:t>
            </w:r>
          </w:p>
        </w:tc>
        <w:tc>
          <w:tcPr>
            <w:tcW w:w="750" w:type="dxa"/>
            <w:shd w:val="clear" w:color="auto" w:fill="auto"/>
            <w:vAlign w:val="center"/>
          </w:tcPr>
          <w:p w14:paraId="262F881A">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19CB6F6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5739371">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7BD9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0" w:hRule="atLeast"/>
        </w:trPr>
        <w:tc>
          <w:tcPr>
            <w:tcW w:w="598" w:type="dxa"/>
            <w:shd w:val="clear" w:color="auto" w:fill="auto"/>
            <w:vAlign w:val="center"/>
          </w:tcPr>
          <w:p w14:paraId="3B9091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8</w:t>
            </w:r>
          </w:p>
        </w:tc>
        <w:tc>
          <w:tcPr>
            <w:tcW w:w="5939" w:type="dxa"/>
            <w:shd w:val="clear" w:color="auto" w:fill="auto"/>
            <w:vAlign w:val="center"/>
          </w:tcPr>
          <w:p w14:paraId="17918096">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八连PCR管可适配天隆Gentier 32R多通道实时荧光定量PCR仪使用。（提供承诺函加盖公章有效）。</w:t>
            </w:r>
          </w:p>
        </w:tc>
        <w:tc>
          <w:tcPr>
            <w:tcW w:w="750" w:type="dxa"/>
            <w:shd w:val="clear" w:color="auto" w:fill="auto"/>
            <w:vAlign w:val="center"/>
          </w:tcPr>
          <w:p w14:paraId="7F7EC924">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4548303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187E699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1CB7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70" w:hRule="atLeast"/>
        </w:trPr>
        <w:tc>
          <w:tcPr>
            <w:tcW w:w="598" w:type="dxa"/>
            <w:shd w:val="clear" w:color="auto" w:fill="auto"/>
            <w:vAlign w:val="center"/>
          </w:tcPr>
          <w:p w14:paraId="75D6F2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9</w:t>
            </w:r>
          </w:p>
        </w:tc>
        <w:tc>
          <w:tcPr>
            <w:tcW w:w="5939" w:type="dxa"/>
            <w:shd w:val="clear" w:color="auto" w:fill="auto"/>
            <w:vAlign w:val="center"/>
          </w:tcPr>
          <w:p w14:paraId="6993D5B9">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所投试剂盒需提供货物正规来源证明承诺，承诺中标后提供所投货物的生产厂家售后服务承诺，以保证产品质量，享受原厂专业的售后服务和技术支持。（提供承诺函加盖公章有效）。</w:t>
            </w:r>
          </w:p>
        </w:tc>
        <w:tc>
          <w:tcPr>
            <w:tcW w:w="750" w:type="dxa"/>
            <w:shd w:val="clear" w:color="auto" w:fill="auto"/>
            <w:vAlign w:val="center"/>
          </w:tcPr>
          <w:p w14:paraId="15AC98AC">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40D868A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1A4A646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46B33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45" w:hRule="atLeast"/>
        </w:trPr>
        <w:tc>
          <w:tcPr>
            <w:tcW w:w="598" w:type="dxa"/>
            <w:shd w:val="clear" w:color="auto" w:fill="auto"/>
            <w:vAlign w:val="center"/>
          </w:tcPr>
          <w:p w14:paraId="77A53B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t>10</w:t>
            </w:r>
          </w:p>
        </w:tc>
        <w:tc>
          <w:tcPr>
            <w:tcW w:w="5939" w:type="dxa"/>
            <w:shd w:val="clear" w:color="auto" w:fill="auto"/>
            <w:vAlign w:val="center"/>
          </w:tcPr>
          <w:p w14:paraId="061A8C80">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所投产品如在实际供货时已经停产，需按原价提供更优质的货物。（提供承诺函加盖公章有效）。</w:t>
            </w:r>
          </w:p>
        </w:tc>
        <w:tc>
          <w:tcPr>
            <w:tcW w:w="750" w:type="dxa"/>
            <w:shd w:val="clear" w:color="auto" w:fill="auto"/>
            <w:vAlign w:val="center"/>
          </w:tcPr>
          <w:p w14:paraId="52361BC7">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74200E7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D8F7628">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50BF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598" w:type="dxa"/>
            <w:shd w:val="clear" w:color="auto" w:fill="auto"/>
            <w:vAlign w:val="center"/>
          </w:tcPr>
          <w:p w14:paraId="13F1D2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11</w:t>
            </w:r>
          </w:p>
        </w:tc>
        <w:tc>
          <w:tcPr>
            <w:tcW w:w="5939" w:type="dxa"/>
            <w:shd w:val="clear" w:color="auto" w:fill="auto"/>
            <w:vAlign w:val="center"/>
          </w:tcPr>
          <w:p w14:paraId="479EA66C">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供应商需提供采购人要求的货物寄送要求。（提供承诺函，加盖公章有效）。</w:t>
            </w:r>
          </w:p>
        </w:tc>
        <w:tc>
          <w:tcPr>
            <w:tcW w:w="750" w:type="dxa"/>
            <w:shd w:val="clear" w:color="auto" w:fill="auto"/>
            <w:vAlign w:val="center"/>
          </w:tcPr>
          <w:p w14:paraId="3BB2120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760151FA">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7954307D">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0F54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80" w:hRule="atLeast"/>
        </w:trPr>
        <w:tc>
          <w:tcPr>
            <w:tcW w:w="598" w:type="dxa"/>
            <w:shd w:val="clear" w:color="auto" w:fill="auto"/>
            <w:vAlign w:val="center"/>
          </w:tcPr>
          <w:p w14:paraId="723215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kern w:val="2"/>
                <w:sz w:val="21"/>
                <w:szCs w:val="21"/>
                <w:u w:val="none"/>
                <w:lang w:val="en-US" w:eastAsia="zh-CN" w:bidi="ar-SA"/>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12</w:t>
            </w:r>
          </w:p>
        </w:tc>
        <w:tc>
          <w:tcPr>
            <w:tcW w:w="5939" w:type="dxa"/>
            <w:shd w:val="clear" w:color="auto" w:fill="auto"/>
            <w:vAlign w:val="center"/>
          </w:tcPr>
          <w:p w14:paraId="18F15C19">
            <w:pPr>
              <w:keepNext w:val="0"/>
              <w:keepLines w:val="0"/>
              <w:widowControl/>
              <w:suppressLineNumbers w:val="0"/>
              <w:jc w:val="both"/>
              <w:textAlignment w:val="cente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其他相关文件（1.质量保证措施方案；2.售后服务方案、售后服务机构情况介绍、在花都持续跟进服务能力；3.交货、运输方案。以上文件如果过于简单，未能真实表述相关内容要求的视作不符合）。</w:t>
            </w:r>
          </w:p>
        </w:tc>
        <w:tc>
          <w:tcPr>
            <w:tcW w:w="750" w:type="dxa"/>
            <w:shd w:val="clear" w:color="auto" w:fill="auto"/>
            <w:vAlign w:val="center"/>
          </w:tcPr>
          <w:p w14:paraId="475B2373">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31949C69">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0050743C">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38F46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60" w:hRule="atLeast"/>
        </w:trPr>
        <w:tc>
          <w:tcPr>
            <w:tcW w:w="598" w:type="dxa"/>
            <w:shd w:val="clear" w:color="auto" w:fill="auto"/>
            <w:vAlign w:val="center"/>
          </w:tcPr>
          <w:p w14:paraId="23E0D4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仿宋_GB2312" w:hAnsi="仿宋_GB2312" w:eastAsia="仿宋_GB2312" w:cs="仿宋_GB2312"/>
                <w:i w:val="0"/>
                <w:color w:val="000000" w:themeColor="text1"/>
                <w:sz w:val="21"/>
                <w:szCs w:val="21"/>
                <w:u w:val="none"/>
                <w:lang w:val="en-US" w:eastAsia="zh-CN"/>
                <w14:textFill>
                  <w14:solidFill>
                    <w14:schemeClr w14:val="tx1"/>
                  </w14:solidFill>
                </w14:textFill>
              </w:rPr>
            </w:pPr>
            <w:r>
              <w:rPr>
                <w:rFonts w:hint="eastAsia" w:ascii="仿宋_GB2312" w:hAnsi="仿宋_GB2312" w:eastAsia="仿宋_GB2312" w:cs="仿宋_GB2312"/>
                <w:i w:val="0"/>
                <w:color w:val="000000" w:themeColor="text1"/>
                <w:sz w:val="21"/>
                <w:szCs w:val="21"/>
                <w:u w:val="none"/>
                <w:lang w:val="en-US" w:eastAsia="zh-CN"/>
                <w14:textFill>
                  <w14:solidFill>
                    <w14:schemeClr w14:val="tx1"/>
                  </w14:solidFill>
                </w14:textFill>
              </w:rPr>
              <w:t>13</w:t>
            </w:r>
          </w:p>
        </w:tc>
        <w:tc>
          <w:tcPr>
            <w:tcW w:w="5939" w:type="dxa"/>
            <w:shd w:val="clear" w:color="auto" w:fill="auto"/>
            <w:vAlign w:val="center"/>
          </w:tcPr>
          <w:p w14:paraId="4E1E8AB6">
            <w:pPr>
              <w:keepNext w:val="0"/>
              <w:keepLines w:val="0"/>
              <w:widowControl/>
              <w:suppressLineNumbers w:val="0"/>
              <w:jc w:val="both"/>
              <w:textAlignment w:val="center"/>
              <w:rPr>
                <w:rFonts w:hint="eastAsia" w:ascii="仿宋_GB2312" w:hAnsi="仿宋_GB2312" w:eastAsia="仿宋_GB2312" w:cs="仿宋_GB2312"/>
                <w:i w:val="0"/>
                <w:color w:val="000000" w:themeColor="text1"/>
                <w:sz w:val="21"/>
                <w:szCs w:val="21"/>
                <w:u w:val="none"/>
                <w14:textFill>
                  <w14:solidFill>
                    <w14:schemeClr w14:val="tx1"/>
                  </w14:solidFill>
                </w14:textFill>
              </w:rPr>
            </w:pPr>
            <w:r>
              <w:rPr>
                <w:rFonts w:hint="eastAsia" w:ascii="仿宋_GB2312" w:hAnsi="仿宋_GB2312" w:eastAsia="仿宋_GB2312" w:cs="仿宋_GB2312"/>
                <w:i w:val="0"/>
                <w:color w:val="000000" w:themeColor="text1"/>
                <w:kern w:val="0"/>
                <w:sz w:val="21"/>
                <w:szCs w:val="21"/>
                <w:u w:val="none"/>
                <w:lang w:val="en-US" w:eastAsia="zh-CN" w:bidi="ar"/>
                <w14:textFill>
                  <w14:solidFill>
                    <w14:schemeClr w14:val="tx1"/>
                  </w14:solidFill>
                </w14:textFill>
              </w:rPr>
              <w:t>报价表</w:t>
            </w:r>
          </w:p>
        </w:tc>
        <w:tc>
          <w:tcPr>
            <w:tcW w:w="750" w:type="dxa"/>
            <w:shd w:val="clear" w:color="auto" w:fill="auto"/>
            <w:vAlign w:val="center"/>
          </w:tcPr>
          <w:p w14:paraId="77343DC6">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705" w:type="dxa"/>
            <w:shd w:val="clear" w:color="auto" w:fill="auto"/>
            <w:vAlign w:val="center"/>
          </w:tcPr>
          <w:p w14:paraId="773D567E">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c>
          <w:tcPr>
            <w:tcW w:w="840" w:type="dxa"/>
            <w:shd w:val="clear" w:color="auto" w:fill="auto"/>
            <w:vAlign w:val="center"/>
          </w:tcPr>
          <w:p w14:paraId="6F282962">
            <w:pPr>
              <w:keepNext w:val="0"/>
              <w:keepLines w:val="0"/>
              <w:pageBreakBefore w:val="0"/>
              <w:kinsoku/>
              <w:wordWrap/>
              <w:overflowPunct/>
              <w:topLinePunct w:val="0"/>
              <w:autoSpaceDE/>
              <w:autoSpaceDN/>
              <w:bidi w:val="0"/>
              <w:adjustRightInd/>
              <w:snapToGrid/>
              <w:spacing w:line="320" w:lineRule="exact"/>
              <w:jc w:val="both"/>
              <w:rPr>
                <w:rFonts w:hint="eastAsia" w:ascii="仿宋_GB2312" w:hAnsi="仿宋_GB2312" w:eastAsia="仿宋_GB2312" w:cs="仿宋_GB2312"/>
                <w:i w:val="0"/>
                <w:color w:val="000000" w:themeColor="text1"/>
                <w:sz w:val="21"/>
                <w:szCs w:val="21"/>
                <w:u w:val="none"/>
                <w14:textFill>
                  <w14:solidFill>
                    <w14:schemeClr w14:val="tx1"/>
                  </w14:solidFill>
                </w14:textFill>
              </w:rPr>
            </w:pPr>
          </w:p>
        </w:tc>
      </w:tr>
      <w:tr w14:paraId="276B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60" w:hRule="atLeast"/>
        </w:trPr>
        <w:tc>
          <w:tcPr>
            <w:tcW w:w="598" w:type="dxa"/>
            <w:shd w:val="clear" w:color="auto" w:fill="auto"/>
            <w:vAlign w:val="center"/>
          </w:tcPr>
          <w:p w14:paraId="0B4F53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结果</w:t>
            </w:r>
          </w:p>
        </w:tc>
        <w:tc>
          <w:tcPr>
            <w:tcW w:w="5939" w:type="dxa"/>
            <w:shd w:val="clear" w:color="auto" w:fill="auto"/>
            <w:vAlign w:val="center"/>
          </w:tcPr>
          <w:p w14:paraId="70F1F42D">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750" w:type="dxa"/>
            <w:shd w:val="clear" w:color="auto" w:fill="auto"/>
            <w:vAlign w:val="center"/>
          </w:tcPr>
          <w:p w14:paraId="41ABA6CD">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705" w:type="dxa"/>
            <w:shd w:val="clear" w:color="auto" w:fill="auto"/>
            <w:vAlign w:val="center"/>
          </w:tcPr>
          <w:p w14:paraId="6A885A9A">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000000" w:themeColor="text1"/>
                <w:sz w:val="21"/>
                <w:szCs w:val="21"/>
                <w:u w:val="none"/>
                <w14:textFill>
                  <w14:solidFill>
                    <w14:schemeClr w14:val="tx1"/>
                  </w14:solidFill>
                </w14:textFill>
              </w:rPr>
            </w:pPr>
          </w:p>
        </w:tc>
        <w:tc>
          <w:tcPr>
            <w:tcW w:w="840" w:type="dxa"/>
            <w:shd w:val="clear" w:color="auto" w:fill="auto"/>
            <w:vAlign w:val="center"/>
          </w:tcPr>
          <w:p w14:paraId="6F7B4DC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themeColor="text1"/>
                <w:sz w:val="21"/>
                <w:szCs w:val="21"/>
                <w:u w:val="none"/>
                <w14:textFill>
                  <w14:solidFill>
                    <w14:schemeClr w14:val="tx1"/>
                  </w14:solidFill>
                </w14:textFill>
              </w:rPr>
            </w:pPr>
          </w:p>
        </w:tc>
      </w:tr>
    </w:tbl>
    <w:p w14:paraId="1C3FDF0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以上</w:t>
      </w:r>
      <w:r>
        <w:rPr>
          <w:rFonts w:hint="eastAsia" w:ascii="仿宋" w:hAnsi="仿宋" w:eastAsia="仿宋" w:cs="仿宋"/>
          <w:color w:val="000000" w:themeColor="text1"/>
          <w:sz w:val="32"/>
          <w:szCs w:val="32"/>
          <w:lang w:val="en-US" w:eastAsia="zh-CN"/>
          <w14:textFill>
            <w14:solidFill>
              <w14:schemeClr w14:val="tx1"/>
            </w14:solidFill>
          </w14:textFill>
        </w:rPr>
        <w:t>符合</w:t>
      </w:r>
      <w:r>
        <w:rPr>
          <w:rFonts w:hint="eastAsia" w:ascii="仿宋" w:hAnsi="仿宋" w:eastAsia="仿宋" w:cs="仿宋"/>
          <w:color w:val="000000" w:themeColor="text1"/>
          <w:sz w:val="32"/>
          <w:szCs w:val="32"/>
          <w14:textFill>
            <w14:solidFill>
              <w14:schemeClr w14:val="tx1"/>
            </w14:solidFill>
          </w14:textFill>
        </w:rPr>
        <w:t>性审查项目评审标准为“通过”和“不通过”，通过的打“Ｏ</w:t>
      </w:r>
      <w:bookmarkStart w:id="2" w:name="_GoBack"/>
      <w:bookmarkEnd w:id="2"/>
      <w:r>
        <w:rPr>
          <w:rFonts w:hint="eastAsia" w:ascii="仿宋" w:hAnsi="仿宋" w:eastAsia="仿宋" w:cs="仿宋"/>
          <w:color w:val="000000" w:themeColor="text1"/>
          <w:sz w:val="32"/>
          <w:szCs w:val="32"/>
          <w14:textFill>
            <w14:solidFill>
              <w14:schemeClr w14:val="tx1"/>
            </w14:solidFill>
          </w14:textFill>
        </w:rPr>
        <w:t>”，不通过的打“×”。如对</w:t>
      </w:r>
      <w:r>
        <w:rPr>
          <w:rFonts w:hint="eastAsia" w:ascii="仿宋" w:hAnsi="仿宋" w:eastAsia="仿宋" w:cs="仿宋"/>
          <w:color w:val="000000" w:themeColor="text1"/>
          <w:sz w:val="32"/>
          <w:szCs w:val="32"/>
          <w:lang w:val="en-US" w:eastAsia="zh-CN"/>
          <w14:textFill>
            <w14:solidFill>
              <w14:schemeClr w14:val="tx1"/>
            </w14:solidFill>
          </w14:textFill>
        </w:rPr>
        <w:t>资格性</w:t>
      </w:r>
      <w:r>
        <w:rPr>
          <w:rFonts w:hint="eastAsia" w:ascii="仿宋" w:hAnsi="仿宋" w:eastAsia="仿宋" w:cs="仿宋"/>
          <w:color w:val="000000" w:themeColor="text1"/>
          <w:sz w:val="32"/>
          <w:szCs w:val="32"/>
          <w14:textFill>
            <w14:solidFill>
              <w14:schemeClr w14:val="tx1"/>
            </w14:solidFill>
          </w14:textFill>
        </w:rPr>
        <w:t>审查评审中有一项不能通过评审，则最终评审结果为“不通过”。</w:t>
      </w:r>
      <w:r>
        <w:rPr>
          <w:rFonts w:hint="eastAsia" w:ascii="仿宋" w:hAnsi="仿宋" w:eastAsia="仿宋" w:cs="仿宋"/>
          <w:color w:val="000000" w:themeColor="text1"/>
          <w:sz w:val="32"/>
          <w:szCs w:val="32"/>
          <w:lang w:val="en-US" w:eastAsia="zh-CN"/>
          <w14:textFill>
            <w14:solidFill>
              <w14:schemeClr w14:val="tx1"/>
            </w14:solidFill>
          </w14:textFill>
        </w:rPr>
        <w:t>通过的进入报价评审环节。</w:t>
      </w:r>
    </w:p>
    <w:p w14:paraId="615267F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（二）</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报价评审</w:t>
      </w:r>
    </w:p>
    <w:p w14:paraId="3A6604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评委对投标人进行符合性审查，在同等条件下，选取报价最低的投标人。</w:t>
      </w:r>
    </w:p>
    <w:p w14:paraId="0CA5DB95">
      <w:pPr>
        <w:keepNext w:val="0"/>
        <w:keepLines w:val="0"/>
        <w:pageBreakBefore w:val="0"/>
        <w:widowControl w:val="0"/>
        <w:kinsoku/>
        <w:wordWrap/>
        <w:overflowPunct/>
        <w:topLinePunct w:val="0"/>
        <w:autoSpaceDE/>
        <w:autoSpaceDN/>
        <w:bidi w:val="0"/>
        <w:adjustRightInd/>
        <w:snapToGrid/>
        <w:spacing w:after="157" w:afterLines="50" w:line="56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表</w:t>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报价评审表</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4272"/>
        <w:gridCol w:w="1908"/>
        <w:gridCol w:w="1475"/>
      </w:tblGrid>
      <w:tr w14:paraId="6161B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39D2B89A">
            <w:pPr>
              <w:spacing w:line="480" w:lineRule="exact"/>
              <w:jc w:val="center"/>
              <w:rPr>
                <w:rFonts w:hint="eastAsia" w:ascii="仿宋" w:hAnsi="仿宋" w:eastAsia="仿宋" w:cs="仿宋"/>
                <w:b/>
                <w:bCs/>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序号</w:t>
            </w:r>
          </w:p>
        </w:tc>
        <w:tc>
          <w:tcPr>
            <w:tcW w:w="4272" w:type="dxa"/>
            <w:vAlign w:val="center"/>
          </w:tcPr>
          <w:p w14:paraId="431B2319">
            <w:pPr>
              <w:spacing w:line="480" w:lineRule="exact"/>
              <w:jc w:val="center"/>
              <w:rPr>
                <w:rFonts w:hint="eastAsia" w:ascii="仿宋" w:hAnsi="仿宋" w:eastAsia="仿宋" w:cs="仿宋"/>
                <w:b/>
                <w:bCs/>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bCs/>
                <w:color w:val="000000" w:themeColor="text1"/>
                <w:sz w:val="28"/>
                <w:szCs w:val="28"/>
                <w:lang w:val="en-US" w:eastAsia="zh-CN"/>
                <w14:textFill>
                  <w14:solidFill>
                    <w14:schemeClr w14:val="tx1"/>
                  </w14:solidFill>
                </w14:textFill>
              </w:rPr>
              <w:t>投标人公司</w:t>
            </w:r>
            <w:r>
              <w:rPr>
                <w:rFonts w:hint="eastAsia" w:ascii="仿宋" w:hAnsi="仿宋" w:eastAsia="仿宋" w:cs="仿宋"/>
                <w:b/>
                <w:bCs/>
                <w:color w:val="000000" w:themeColor="text1"/>
                <w:sz w:val="28"/>
                <w:szCs w:val="28"/>
                <w14:textFill>
                  <w14:solidFill>
                    <w14:schemeClr w14:val="tx1"/>
                  </w14:solidFill>
                </w14:textFill>
              </w:rPr>
              <w:t>名称</w:t>
            </w:r>
          </w:p>
        </w:tc>
        <w:tc>
          <w:tcPr>
            <w:tcW w:w="1908" w:type="dxa"/>
            <w:vAlign w:val="center"/>
          </w:tcPr>
          <w:p w14:paraId="4C951480">
            <w:pPr>
              <w:spacing w:line="480" w:lineRule="exact"/>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报价</w:t>
            </w:r>
            <w:r>
              <w:rPr>
                <w:rFonts w:hint="eastAsia" w:ascii="仿宋" w:hAnsi="仿宋" w:eastAsia="仿宋" w:cs="仿宋"/>
                <w:b/>
                <w:bCs/>
                <w:color w:val="000000" w:themeColor="text1"/>
                <w:sz w:val="28"/>
                <w:szCs w:val="28"/>
                <w:lang w:eastAsia="zh-CN"/>
                <w14:textFill>
                  <w14:solidFill>
                    <w14:schemeClr w14:val="tx1"/>
                  </w14:solidFill>
                </w14:textFill>
              </w:rPr>
              <w:t>（</w:t>
            </w:r>
            <w:r>
              <w:rPr>
                <w:rFonts w:hint="eastAsia" w:ascii="仿宋" w:hAnsi="仿宋" w:eastAsia="仿宋" w:cs="仿宋"/>
                <w:b/>
                <w:bCs/>
                <w:color w:val="000000" w:themeColor="text1"/>
                <w:sz w:val="28"/>
                <w:szCs w:val="28"/>
                <w:lang w:val="en-US" w:eastAsia="zh-CN"/>
                <w14:textFill>
                  <w14:solidFill>
                    <w14:schemeClr w14:val="tx1"/>
                  </w14:solidFill>
                </w14:textFill>
              </w:rPr>
              <w:t>元</w:t>
            </w:r>
            <w:r>
              <w:rPr>
                <w:rFonts w:hint="eastAsia" w:ascii="仿宋" w:hAnsi="仿宋" w:eastAsia="仿宋" w:cs="仿宋"/>
                <w:b/>
                <w:bCs/>
                <w:color w:val="000000" w:themeColor="text1"/>
                <w:sz w:val="28"/>
                <w:szCs w:val="28"/>
                <w:lang w:eastAsia="zh-CN"/>
                <w14:textFill>
                  <w14:solidFill>
                    <w14:schemeClr w14:val="tx1"/>
                  </w14:solidFill>
                </w14:textFill>
              </w:rPr>
              <w:t>）</w:t>
            </w:r>
          </w:p>
        </w:tc>
        <w:tc>
          <w:tcPr>
            <w:tcW w:w="1475" w:type="dxa"/>
            <w:vAlign w:val="center"/>
          </w:tcPr>
          <w:p w14:paraId="1ADD2F97">
            <w:pPr>
              <w:spacing w:line="480" w:lineRule="exact"/>
              <w:jc w:val="center"/>
              <w:rPr>
                <w:rFonts w:hint="eastAsia" w:ascii="仿宋" w:hAnsi="仿宋" w:eastAsia="仿宋" w:cs="仿宋"/>
                <w:b/>
                <w:bCs/>
                <w:color w:val="000000" w:themeColor="text1"/>
                <w:sz w:val="28"/>
                <w:szCs w:val="28"/>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备注</w:t>
            </w:r>
          </w:p>
        </w:tc>
      </w:tr>
      <w:tr w14:paraId="25C6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132C073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1</w:t>
            </w:r>
          </w:p>
        </w:tc>
        <w:tc>
          <w:tcPr>
            <w:tcW w:w="4272" w:type="dxa"/>
            <w:vAlign w:val="center"/>
          </w:tcPr>
          <w:p w14:paraId="4E9FA90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908" w:type="dxa"/>
            <w:vAlign w:val="center"/>
          </w:tcPr>
          <w:p w14:paraId="0C271DE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475" w:type="dxa"/>
            <w:vAlign w:val="center"/>
          </w:tcPr>
          <w:p w14:paraId="3AA4017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2FB7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607FC52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2</w:t>
            </w:r>
          </w:p>
        </w:tc>
        <w:tc>
          <w:tcPr>
            <w:tcW w:w="4272" w:type="dxa"/>
            <w:vAlign w:val="center"/>
          </w:tcPr>
          <w:p w14:paraId="37ECDB0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908" w:type="dxa"/>
            <w:vAlign w:val="center"/>
          </w:tcPr>
          <w:p w14:paraId="01B3C73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475" w:type="dxa"/>
            <w:vAlign w:val="center"/>
          </w:tcPr>
          <w:p w14:paraId="3813364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5E9E4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vAlign w:val="center"/>
          </w:tcPr>
          <w:p w14:paraId="56F65C3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3</w:t>
            </w:r>
          </w:p>
        </w:tc>
        <w:tc>
          <w:tcPr>
            <w:tcW w:w="4272" w:type="dxa"/>
            <w:vAlign w:val="center"/>
          </w:tcPr>
          <w:p w14:paraId="2D320CC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908" w:type="dxa"/>
            <w:vAlign w:val="center"/>
          </w:tcPr>
          <w:p w14:paraId="46A730D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c>
          <w:tcPr>
            <w:tcW w:w="1475" w:type="dxa"/>
            <w:vAlign w:val="center"/>
          </w:tcPr>
          <w:p w14:paraId="7C8B849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p>
        </w:tc>
      </w:tr>
      <w:tr w14:paraId="00D6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8522" w:type="dxa"/>
            <w:gridSpan w:val="4"/>
            <w:vAlign w:val="center"/>
          </w:tcPr>
          <w:p w14:paraId="003C4BF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left"/>
              <w:textAlignment w:val="auto"/>
              <w:outlineLvl w:val="9"/>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vertAlign w:val="baseline"/>
                <w:lang w:val="en-US" w:eastAsia="zh-CN"/>
                <w14:textFill>
                  <w14:solidFill>
                    <w14:schemeClr w14:val="tx1"/>
                  </w14:solidFill>
                </w14:textFill>
              </w:rPr>
              <w:t>结论：经过对上述x家公司的各项条件对比，xxxx公司在同类项目服务经验及服务费报价上较其他x家公司更有优势，更有利于本项目服务的开展。因此，建议xxx公司作为本项目的供应商。</w:t>
            </w:r>
          </w:p>
        </w:tc>
      </w:tr>
    </w:tbl>
    <w:p w14:paraId="006FBE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val="0"/>
          <w:bCs w:val="0"/>
          <w:color w:val="000000" w:themeColor="text1"/>
          <w:sz w:val="32"/>
          <w:szCs w:val="32"/>
          <w14:textFill>
            <w14:solidFill>
              <w14:schemeClr w14:val="tx1"/>
            </w14:solidFill>
          </w14:textFill>
        </w:rPr>
        <w:t>（三）</w:t>
      </w:r>
      <w:r>
        <w:rPr>
          <w:rFonts w:hint="eastAsia" w:ascii="楷体_GB2312" w:hAnsi="楷体_GB2312" w:eastAsia="楷体_GB2312" w:cs="楷体_GB2312"/>
          <w:b w:val="0"/>
          <w:bCs w:val="0"/>
          <w:color w:val="000000" w:themeColor="text1"/>
          <w:sz w:val="32"/>
          <w:szCs w:val="32"/>
          <w:lang w:val="en-US" w:eastAsia="zh-CN"/>
          <w14:textFill>
            <w14:solidFill>
              <w14:schemeClr w14:val="tx1"/>
            </w14:solidFill>
          </w14:textFill>
        </w:rPr>
        <w:t>选定供应商</w:t>
      </w:r>
    </w:p>
    <w:p w14:paraId="7267587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按照符合性审查结果，</w:t>
      </w:r>
      <w:r>
        <w:rPr>
          <w:rFonts w:hint="eastAsia" w:ascii="仿宋" w:hAnsi="仿宋" w:eastAsia="仿宋" w:cs="仿宋"/>
          <w:color w:val="000000" w:themeColor="text1"/>
          <w:sz w:val="32"/>
          <w:szCs w:val="32"/>
          <w14:textFill>
            <w14:solidFill>
              <w14:schemeClr w14:val="tx1"/>
            </w14:solidFill>
          </w14:textFill>
        </w:rPr>
        <w:t>按投标报价由低到高顺序排列</w:t>
      </w:r>
      <w:r>
        <w:rPr>
          <w:rFonts w:hint="eastAsia" w:ascii="仿宋" w:hAnsi="仿宋" w:eastAsia="仿宋" w:cs="仿宋"/>
          <w:color w:val="000000" w:themeColor="text1"/>
          <w:sz w:val="32"/>
          <w:szCs w:val="32"/>
          <w:lang w:eastAsia="zh-CN"/>
          <w14:textFill>
            <w14:solidFill>
              <w14:schemeClr w14:val="tx1"/>
            </w14:solidFill>
          </w14:textFill>
        </w:rPr>
        <w:t>，</w:t>
      </w:r>
      <w:bookmarkStart w:id="1" w:name="_Hlk528938996"/>
      <w:r>
        <w:rPr>
          <w:rFonts w:hint="eastAsia" w:ascii="仿宋" w:hAnsi="仿宋" w:eastAsia="仿宋" w:cs="仿宋"/>
          <w:color w:val="000000" w:themeColor="text1"/>
          <w:sz w:val="32"/>
          <w:szCs w:val="32"/>
          <w14:textFill>
            <w14:solidFill>
              <w14:schemeClr w14:val="tx1"/>
            </w14:solidFill>
          </w14:textFill>
        </w:rPr>
        <w:t>同等条件下，选取报价最低的</w:t>
      </w:r>
      <w:r>
        <w:rPr>
          <w:rFonts w:hint="eastAsia" w:ascii="仿宋" w:hAnsi="仿宋" w:eastAsia="仿宋" w:cs="仿宋"/>
          <w:color w:val="000000" w:themeColor="text1"/>
          <w:sz w:val="32"/>
          <w:szCs w:val="32"/>
          <w:lang w:val="en-US" w:eastAsia="zh-CN"/>
          <w14:textFill>
            <w14:solidFill>
              <w14:schemeClr w14:val="tx1"/>
            </w14:solidFill>
          </w14:textFill>
        </w:rPr>
        <w:t>投标</w:t>
      </w:r>
      <w:r>
        <w:rPr>
          <w:rFonts w:hint="eastAsia" w:ascii="仿宋" w:hAnsi="仿宋" w:eastAsia="仿宋" w:cs="仿宋"/>
          <w:color w:val="000000" w:themeColor="text1"/>
          <w:sz w:val="32"/>
          <w:szCs w:val="32"/>
          <w14:textFill>
            <w14:solidFill>
              <w14:schemeClr w14:val="tx1"/>
            </w14:solidFill>
          </w14:textFill>
        </w:rPr>
        <w:t>人。</w:t>
      </w:r>
    </w:p>
    <w:bookmarkEnd w:id="0"/>
    <w:bookmarkEnd w:id="1"/>
    <w:p w14:paraId="42D8CAF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评审结果公示</w:t>
      </w:r>
    </w:p>
    <w:p w14:paraId="66BDB69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left"/>
        <w:textAlignment w:val="auto"/>
        <w:outlineLvl w:val="9"/>
        <w:rPr>
          <w:rFonts w:hint="eastAsia" w:ascii="仿宋" w:hAnsi="仿宋" w:eastAsia="仿宋" w:cs="仿宋"/>
          <w:b w:val="0"/>
          <w:bCs w:val="0"/>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评审结果将会在广州市花都区农业农村局网站进行公示。</w:t>
      </w:r>
    </w:p>
    <w:p w14:paraId="58846DA5">
      <w:pPr>
        <w:keepNext w:val="0"/>
        <w:keepLines w:val="0"/>
        <w:pageBreakBefore w:val="0"/>
        <w:widowControl w:val="0"/>
        <w:numPr>
          <w:ilvl w:val="0"/>
          <w:numId w:val="0"/>
        </w:numPr>
        <w:kinsoku/>
        <w:wordWrap/>
        <w:overflowPunct/>
        <w:topLinePunct w:val="0"/>
        <w:autoSpaceDE/>
        <w:autoSpaceDN/>
        <w:bidi w:val="0"/>
        <w:adjustRightInd w:val="0"/>
        <w:snapToGrid w:val="0"/>
        <w:spacing w:line="640" w:lineRule="exact"/>
        <w:ind w:firstLine="640" w:firstLineChars="200"/>
        <w:jc w:val="left"/>
        <w:textAlignment w:val="auto"/>
        <w:outlineLvl w:val="9"/>
        <w:rPr>
          <w:rFonts w:hint="eastAsia" w:ascii="仿宋" w:hAnsi="仿宋" w:eastAsia="仿宋" w:cs="仿宋"/>
          <w:b w:val="0"/>
          <w:bCs w:val="0"/>
          <w:color w:val="000000" w:themeColor="text1"/>
          <w:sz w:val="32"/>
          <w:szCs w:val="32"/>
          <w:lang w:val="en-US" w:eastAsia="zh-CN"/>
          <w14:textFill>
            <w14:solidFill>
              <w14:schemeClr w14:val="tx1"/>
            </w14:solidFill>
          </w14:textFill>
        </w:rPr>
      </w:pPr>
    </w:p>
    <w:sectPr>
      <w:headerReference r:id="rId3" w:type="default"/>
      <w:footerReference r:id="rId4"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7F340">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B45E8B">
                          <w:pPr>
                            <w:pStyle w:val="9"/>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49B45E8B">
                    <w:pPr>
                      <w:pStyle w:val="9"/>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709AE">
    <w:pPr>
      <w:pStyle w:val="10"/>
      <w:pBdr>
        <w:bottom w:val="none" w:color="auto" w:sz="0" w:space="1"/>
      </w:pBdr>
      <w:jc w:val="both"/>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B21365"/>
    <w:multiLevelType w:val="multilevel"/>
    <w:tmpl w:val="7FB21365"/>
    <w:lvl w:ilvl="0" w:tentative="0">
      <w:start w:val="1"/>
      <w:numFmt w:val="decimal"/>
      <w:pStyle w:val="7"/>
      <w:lvlText w:val="第%1章"/>
      <w:lvlJc w:val="left"/>
      <w:pPr>
        <w:tabs>
          <w:tab w:val="left" w:pos="360"/>
        </w:tabs>
        <w:ind w:left="0" w:firstLine="0"/>
      </w:pPr>
      <w:rPr>
        <w:rFonts w:hint="default" w:ascii="Arial" w:hAnsi="Arial" w:eastAsia="黑体"/>
        <w:b/>
        <w:i w:val="0"/>
        <w:sz w:val="32"/>
      </w:rPr>
    </w:lvl>
    <w:lvl w:ilvl="1" w:tentative="0">
      <w:start w:val="1"/>
      <w:numFmt w:val="decimal"/>
      <w:lvlText w:val="%1.%2"/>
      <w:lvlJc w:val="left"/>
      <w:pPr>
        <w:tabs>
          <w:tab w:val="left" w:pos="720"/>
        </w:tabs>
        <w:ind w:left="0" w:firstLine="0"/>
      </w:pPr>
      <w:rPr>
        <w:rFonts w:hint="default" w:ascii="Arial" w:hAnsi="Arial" w:eastAsia="黑体"/>
        <w:sz w:val="30"/>
      </w:rPr>
    </w:lvl>
    <w:lvl w:ilvl="2" w:tentative="0">
      <w:start w:val="1"/>
      <w:numFmt w:val="decimal"/>
      <w:lvlText w:val="%1.%2.%3"/>
      <w:lvlJc w:val="left"/>
      <w:pPr>
        <w:tabs>
          <w:tab w:val="left" w:pos="720"/>
        </w:tabs>
        <w:ind w:left="0" w:firstLine="0"/>
      </w:pPr>
      <w:rPr>
        <w:rFonts w:hint="default" w:ascii="Arial" w:hAnsi="Arial" w:eastAsia="黑体"/>
        <w:sz w:val="28"/>
      </w:rPr>
    </w:lvl>
    <w:lvl w:ilvl="3" w:tentative="0">
      <w:start w:val="1"/>
      <w:numFmt w:val="decimal"/>
      <w:lvlText w:val="%1.%2.%3.%4"/>
      <w:lvlJc w:val="left"/>
      <w:pPr>
        <w:tabs>
          <w:tab w:val="left" w:pos="1080"/>
        </w:tabs>
        <w:ind w:left="0" w:firstLine="0"/>
      </w:pPr>
      <w:rPr>
        <w:rFonts w:hint="default" w:ascii="Arial" w:hAnsi="Arial" w:eastAsia="黑体"/>
        <w:sz w:val="28"/>
      </w:rPr>
    </w:lvl>
    <w:lvl w:ilvl="4" w:tentative="0">
      <w:start w:val="1"/>
      <w:numFmt w:val="decimal"/>
      <w:lvlText w:val="%1.%2.%3.%4.%5"/>
      <w:lvlJc w:val="left"/>
      <w:pPr>
        <w:tabs>
          <w:tab w:val="left" w:pos="1440"/>
        </w:tabs>
        <w:ind w:left="0" w:firstLine="0"/>
      </w:pPr>
      <w:rPr>
        <w:rFonts w:hint="default" w:ascii="Arial" w:hAnsi="Arial" w:eastAsia="黑体"/>
        <w:sz w:val="28"/>
      </w:rPr>
    </w:lvl>
    <w:lvl w:ilvl="5" w:tentative="0">
      <w:start w:val="1"/>
      <w:numFmt w:val="decimal"/>
      <w:lvlText w:val="%1.%2.%3.%4.%5.%6"/>
      <w:lvlJc w:val="left"/>
      <w:pPr>
        <w:tabs>
          <w:tab w:val="left" w:pos="1080"/>
        </w:tabs>
        <w:ind w:left="0" w:firstLine="0"/>
      </w:pPr>
      <w:rPr>
        <w:rFonts w:hint="eastAsia"/>
      </w:rPr>
    </w:lvl>
    <w:lvl w:ilvl="6" w:tentative="0">
      <w:start w:val="1"/>
      <w:numFmt w:val="decimal"/>
      <w:lvlText w:val="%1.%2.%3.%4.%5.%6.%7"/>
      <w:lvlJc w:val="left"/>
      <w:pPr>
        <w:tabs>
          <w:tab w:val="left" w:pos="0"/>
        </w:tabs>
        <w:ind w:left="0" w:firstLine="0"/>
      </w:pPr>
      <w:rPr>
        <w:rFonts w:hint="eastAsia"/>
      </w:rPr>
    </w:lvl>
    <w:lvl w:ilvl="7" w:tentative="0">
      <w:start w:val="1"/>
      <w:numFmt w:val="decimal"/>
      <w:lvlText w:val="%1.%2.%3.%4.%5.%6.%7.%8"/>
      <w:lvlJc w:val="left"/>
      <w:pPr>
        <w:tabs>
          <w:tab w:val="left" w:pos="0"/>
        </w:tabs>
        <w:ind w:left="0" w:firstLine="0"/>
      </w:pPr>
      <w:rPr>
        <w:rFonts w:hint="eastAsia"/>
      </w:rPr>
    </w:lvl>
    <w:lvl w:ilvl="8" w:tentative="0">
      <w:start w:val="1"/>
      <w:numFmt w:val="decimal"/>
      <w:lvlText w:val="%1.%2.%3.%4.%5.%6.%7.%8.%9"/>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638"/>
    <w:rsid w:val="00092CE9"/>
    <w:rsid w:val="000E3D9E"/>
    <w:rsid w:val="000F1236"/>
    <w:rsid w:val="00107E59"/>
    <w:rsid w:val="001332A8"/>
    <w:rsid w:val="00184D8C"/>
    <w:rsid w:val="001B5505"/>
    <w:rsid w:val="001C3ED8"/>
    <w:rsid w:val="001D2BEC"/>
    <w:rsid w:val="00211540"/>
    <w:rsid w:val="00215BB2"/>
    <w:rsid w:val="00231044"/>
    <w:rsid w:val="0023544F"/>
    <w:rsid w:val="00235684"/>
    <w:rsid w:val="00265BD8"/>
    <w:rsid w:val="00266EB6"/>
    <w:rsid w:val="0028528E"/>
    <w:rsid w:val="002C31D5"/>
    <w:rsid w:val="002D4C80"/>
    <w:rsid w:val="00300F71"/>
    <w:rsid w:val="0031063F"/>
    <w:rsid w:val="00321591"/>
    <w:rsid w:val="003219E9"/>
    <w:rsid w:val="00324DD6"/>
    <w:rsid w:val="003326DA"/>
    <w:rsid w:val="003419B5"/>
    <w:rsid w:val="00351486"/>
    <w:rsid w:val="00364B5F"/>
    <w:rsid w:val="003721DE"/>
    <w:rsid w:val="003740E6"/>
    <w:rsid w:val="00374A95"/>
    <w:rsid w:val="003A0D67"/>
    <w:rsid w:val="003B537B"/>
    <w:rsid w:val="003C4990"/>
    <w:rsid w:val="003D4FF5"/>
    <w:rsid w:val="003D5A60"/>
    <w:rsid w:val="003E5501"/>
    <w:rsid w:val="0041206C"/>
    <w:rsid w:val="004211DE"/>
    <w:rsid w:val="00427D15"/>
    <w:rsid w:val="004327A8"/>
    <w:rsid w:val="00437207"/>
    <w:rsid w:val="00464E87"/>
    <w:rsid w:val="00484434"/>
    <w:rsid w:val="004A0B59"/>
    <w:rsid w:val="004B5D43"/>
    <w:rsid w:val="004C33F1"/>
    <w:rsid w:val="004D025A"/>
    <w:rsid w:val="00511B93"/>
    <w:rsid w:val="00536260"/>
    <w:rsid w:val="00582EFE"/>
    <w:rsid w:val="005949A3"/>
    <w:rsid w:val="005F6FE5"/>
    <w:rsid w:val="00643D23"/>
    <w:rsid w:val="006500D3"/>
    <w:rsid w:val="00654898"/>
    <w:rsid w:val="0068592D"/>
    <w:rsid w:val="006C6722"/>
    <w:rsid w:val="006D484D"/>
    <w:rsid w:val="006F4A87"/>
    <w:rsid w:val="00701F6E"/>
    <w:rsid w:val="00707AA3"/>
    <w:rsid w:val="007966F0"/>
    <w:rsid w:val="007A0D32"/>
    <w:rsid w:val="007D40EA"/>
    <w:rsid w:val="007F0137"/>
    <w:rsid w:val="007F671A"/>
    <w:rsid w:val="00815B52"/>
    <w:rsid w:val="008167B1"/>
    <w:rsid w:val="00875638"/>
    <w:rsid w:val="008B08DD"/>
    <w:rsid w:val="008C6ACF"/>
    <w:rsid w:val="008D3EFF"/>
    <w:rsid w:val="00906A16"/>
    <w:rsid w:val="00923B3D"/>
    <w:rsid w:val="00940B64"/>
    <w:rsid w:val="00952C3D"/>
    <w:rsid w:val="00961563"/>
    <w:rsid w:val="00963D53"/>
    <w:rsid w:val="00967C39"/>
    <w:rsid w:val="0099149E"/>
    <w:rsid w:val="009918E9"/>
    <w:rsid w:val="009B690F"/>
    <w:rsid w:val="00A01753"/>
    <w:rsid w:val="00A21A12"/>
    <w:rsid w:val="00A25AAF"/>
    <w:rsid w:val="00A32030"/>
    <w:rsid w:val="00A511A5"/>
    <w:rsid w:val="00A577F6"/>
    <w:rsid w:val="00A60068"/>
    <w:rsid w:val="00A715F5"/>
    <w:rsid w:val="00A8255E"/>
    <w:rsid w:val="00A86ABB"/>
    <w:rsid w:val="00AA2D74"/>
    <w:rsid w:val="00AA5024"/>
    <w:rsid w:val="00AE2C7D"/>
    <w:rsid w:val="00AF1672"/>
    <w:rsid w:val="00B24A18"/>
    <w:rsid w:val="00B273BD"/>
    <w:rsid w:val="00B632D1"/>
    <w:rsid w:val="00B807D9"/>
    <w:rsid w:val="00B811C9"/>
    <w:rsid w:val="00BC1133"/>
    <w:rsid w:val="00BF18B8"/>
    <w:rsid w:val="00C168C1"/>
    <w:rsid w:val="00C21A2A"/>
    <w:rsid w:val="00C22A1F"/>
    <w:rsid w:val="00C264FD"/>
    <w:rsid w:val="00C94A57"/>
    <w:rsid w:val="00C96B47"/>
    <w:rsid w:val="00C97A81"/>
    <w:rsid w:val="00CB4A4E"/>
    <w:rsid w:val="00CC7BA2"/>
    <w:rsid w:val="00CD2A4D"/>
    <w:rsid w:val="00CD4A35"/>
    <w:rsid w:val="00CF449D"/>
    <w:rsid w:val="00D07DBD"/>
    <w:rsid w:val="00D16070"/>
    <w:rsid w:val="00D675D0"/>
    <w:rsid w:val="00D76FA6"/>
    <w:rsid w:val="00D822E6"/>
    <w:rsid w:val="00D863DE"/>
    <w:rsid w:val="00DA6600"/>
    <w:rsid w:val="00DC6806"/>
    <w:rsid w:val="00E07BF4"/>
    <w:rsid w:val="00E87B43"/>
    <w:rsid w:val="00E94BEC"/>
    <w:rsid w:val="00EA02B9"/>
    <w:rsid w:val="00EB6889"/>
    <w:rsid w:val="00EC19DC"/>
    <w:rsid w:val="00EC392F"/>
    <w:rsid w:val="00EC5C88"/>
    <w:rsid w:val="00EE20A4"/>
    <w:rsid w:val="00F3745A"/>
    <w:rsid w:val="00F450E5"/>
    <w:rsid w:val="00F546E3"/>
    <w:rsid w:val="00F73B97"/>
    <w:rsid w:val="00F77588"/>
    <w:rsid w:val="00F9122E"/>
    <w:rsid w:val="00FA47B5"/>
    <w:rsid w:val="00FD3060"/>
    <w:rsid w:val="00FE62E2"/>
    <w:rsid w:val="00FF1E4F"/>
    <w:rsid w:val="01CD009E"/>
    <w:rsid w:val="03742BB2"/>
    <w:rsid w:val="03F82848"/>
    <w:rsid w:val="04DC7DA2"/>
    <w:rsid w:val="05E46331"/>
    <w:rsid w:val="07A077CD"/>
    <w:rsid w:val="09944A81"/>
    <w:rsid w:val="0BE876B0"/>
    <w:rsid w:val="0C634AFD"/>
    <w:rsid w:val="0CEC580D"/>
    <w:rsid w:val="0E0D762B"/>
    <w:rsid w:val="0E4B09AA"/>
    <w:rsid w:val="1067282C"/>
    <w:rsid w:val="1129588B"/>
    <w:rsid w:val="113E0C10"/>
    <w:rsid w:val="136C0267"/>
    <w:rsid w:val="14195680"/>
    <w:rsid w:val="14C66B32"/>
    <w:rsid w:val="14E1472B"/>
    <w:rsid w:val="163343D7"/>
    <w:rsid w:val="18507BCC"/>
    <w:rsid w:val="1BA231DE"/>
    <w:rsid w:val="1C186A2A"/>
    <w:rsid w:val="1D2F02A2"/>
    <w:rsid w:val="1EBE6D5D"/>
    <w:rsid w:val="202D6554"/>
    <w:rsid w:val="231006A8"/>
    <w:rsid w:val="238530EF"/>
    <w:rsid w:val="25EE208B"/>
    <w:rsid w:val="260248BE"/>
    <w:rsid w:val="26340547"/>
    <w:rsid w:val="26570272"/>
    <w:rsid w:val="26E41E34"/>
    <w:rsid w:val="29B12721"/>
    <w:rsid w:val="2A023406"/>
    <w:rsid w:val="2EC912B3"/>
    <w:rsid w:val="2FB92E8E"/>
    <w:rsid w:val="30D41EE0"/>
    <w:rsid w:val="30F146AB"/>
    <w:rsid w:val="31C704EE"/>
    <w:rsid w:val="31DF2526"/>
    <w:rsid w:val="32A265DB"/>
    <w:rsid w:val="335B4BC5"/>
    <w:rsid w:val="33E41CA4"/>
    <w:rsid w:val="354A2041"/>
    <w:rsid w:val="35B4286C"/>
    <w:rsid w:val="36BA5788"/>
    <w:rsid w:val="37973DE4"/>
    <w:rsid w:val="39420C9A"/>
    <w:rsid w:val="3A4B6C9E"/>
    <w:rsid w:val="3B8F2033"/>
    <w:rsid w:val="3BFE4B3C"/>
    <w:rsid w:val="3CF10966"/>
    <w:rsid w:val="3D14319A"/>
    <w:rsid w:val="3EA8612D"/>
    <w:rsid w:val="40E11007"/>
    <w:rsid w:val="46642D24"/>
    <w:rsid w:val="48577C8E"/>
    <w:rsid w:val="48765219"/>
    <w:rsid w:val="496820F3"/>
    <w:rsid w:val="4BE514F3"/>
    <w:rsid w:val="4C5345CA"/>
    <w:rsid w:val="4CBC34E6"/>
    <w:rsid w:val="52136F47"/>
    <w:rsid w:val="52684F60"/>
    <w:rsid w:val="54E25002"/>
    <w:rsid w:val="59C5560A"/>
    <w:rsid w:val="5AB91387"/>
    <w:rsid w:val="5C6F3B2D"/>
    <w:rsid w:val="5DB6074F"/>
    <w:rsid w:val="5E3F5D7A"/>
    <w:rsid w:val="5FF732A0"/>
    <w:rsid w:val="615A6A89"/>
    <w:rsid w:val="62772AB3"/>
    <w:rsid w:val="62A22585"/>
    <w:rsid w:val="63BC6F59"/>
    <w:rsid w:val="64630EE5"/>
    <w:rsid w:val="649220B0"/>
    <w:rsid w:val="653A52B9"/>
    <w:rsid w:val="66696571"/>
    <w:rsid w:val="68E86389"/>
    <w:rsid w:val="6B307B69"/>
    <w:rsid w:val="6B8A4DA2"/>
    <w:rsid w:val="6BBF6FD2"/>
    <w:rsid w:val="6C6A2060"/>
    <w:rsid w:val="6E537FD0"/>
    <w:rsid w:val="6FFFC098"/>
    <w:rsid w:val="71286FBE"/>
    <w:rsid w:val="73650B87"/>
    <w:rsid w:val="736E7BF2"/>
    <w:rsid w:val="75D96C7A"/>
    <w:rsid w:val="7748458E"/>
    <w:rsid w:val="783D59E1"/>
    <w:rsid w:val="784312FA"/>
    <w:rsid w:val="790439F2"/>
    <w:rsid w:val="7B346416"/>
    <w:rsid w:val="7BF514DC"/>
    <w:rsid w:val="7C1620AD"/>
    <w:rsid w:val="7D7D44FD"/>
    <w:rsid w:val="7FFE5A7E"/>
    <w:rsid w:val="967FEBEF"/>
    <w:rsid w:val="AEFF4A73"/>
    <w:rsid w:val="CFBED050"/>
    <w:rsid w:val="F75390D6"/>
    <w:rsid w:val="F7D7BC5A"/>
    <w:rsid w:val="FDFFB7A6"/>
    <w:rsid w:val="FF7101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7">
    <w:name w:val="heading 1"/>
    <w:basedOn w:val="1"/>
    <w:next w:val="1"/>
    <w:qFormat/>
    <w:locked/>
    <w:uiPriority w:val="0"/>
    <w:pPr>
      <w:keepNext/>
      <w:keepLines/>
      <w:numPr>
        <w:ilvl w:val="0"/>
        <w:numId w:val="1"/>
      </w:numPr>
      <w:spacing w:before="200" w:after="200" w:line="578" w:lineRule="auto"/>
      <w:outlineLvl w:val="0"/>
    </w:pPr>
    <w:rPr>
      <w:rFonts w:ascii="Arial" w:hAnsi="Arial" w:eastAsia="黑体"/>
      <w:b/>
      <w:bCs/>
      <w:kern w:val="44"/>
      <w:sz w:val="32"/>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widowControl w:val="0"/>
      <w:ind w:left="200" w:leftChars="0" w:firstLine="200"/>
      <w:jc w:val="both"/>
    </w:pPr>
    <w:rPr>
      <w:rFonts w:ascii="宋体" w:hAnsi="宋体"/>
      <w:kern w:val="2"/>
    </w:rPr>
  </w:style>
  <w:style w:type="paragraph" w:styleId="3">
    <w:name w:val="Body Text Indent"/>
    <w:basedOn w:val="1"/>
    <w:next w:val="1"/>
    <w:qFormat/>
    <w:uiPriority w:val="0"/>
    <w:pPr>
      <w:autoSpaceDE/>
      <w:autoSpaceDN/>
      <w:adjustRightInd/>
      <w:spacing w:line="560" w:lineRule="exact"/>
      <w:ind w:left="300"/>
      <w:jc w:val="both"/>
    </w:pPr>
    <w:rPr>
      <w:kern w:val="2"/>
      <w:sz w:val="24"/>
      <w:szCs w:val="24"/>
    </w:rPr>
  </w:style>
  <w:style w:type="paragraph" w:styleId="4">
    <w:name w:val="Body Text First Indent"/>
    <w:basedOn w:val="5"/>
    <w:qFormat/>
    <w:uiPriority w:val="0"/>
    <w:pPr>
      <w:widowControl w:val="0"/>
      <w:adjustRightInd w:val="0"/>
      <w:snapToGrid w:val="0"/>
      <w:spacing w:before="40" w:after="40"/>
      <w:ind w:firstLine="200" w:firstLineChars="200"/>
      <w:jc w:val="both"/>
    </w:pPr>
    <w:rPr>
      <w:kern w:val="2"/>
      <w:sz w:val="24"/>
    </w:rPr>
  </w:style>
  <w:style w:type="paragraph" w:styleId="5">
    <w:name w:val="Body Text"/>
    <w:basedOn w:val="1"/>
    <w:next w:val="6"/>
    <w:qFormat/>
    <w:uiPriority w:val="0"/>
    <w:pPr>
      <w:spacing w:after="120"/>
    </w:pPr>
    <w:rPr>
      <w:kern w:val="0"/>
      <w:sz w:val="20"/>
    </w:rPr>
  </w:style>
  <w:style w:type="paragraph" w:styleId="6">
    <w:name w:val="Date"/>
    <w:basedOn w:val="1"/>
    <w:next w:val="1"/>
    <w:qFormat/>
    <w:uiPriority w:val="0"/>
    <w:rPr>
      <w:sz w:val="24"/>
      <w:szCs w:val="20"/>
    </w:rPr>
  </w:style>
  <w:style w:type="paragraph" w:styleId="8">
    <w:name w:val="Plain Text"/>
    <w:basedOn w:val="1"/>
    <w:link w:val="17"/>
    <w:qFormat/>
    <w:uiPriority w:val="0"/>
    <w:rPr>
      <w:rFonts w:ascii="宋体" w:hAnsi="Courier New" w:cs="Times New Roman"/>
      <w:szCs w:val="20"/>
    </w:rPr>
  </w:style>
  <w:style w:type="paragraph" w:styleId="9">
    <w:name w:val="footer"/>
    <w:basedOn w:val="1"/>
    <w:link w:val="16"/>
    <w:semiHidden/>
    <w:qFormat/>
    <w:uiPriority w:val="99"/>
    <w:pPr>
      <w:tabs>
        <w:tab w:val="center" w:pos="4153"/>
        <w:tab w:val="right" w:pos="8306"/>
      </w:tabs>
      <w:snapToGrid w:val="0"/>
      <w:jc w:val="left"/>
    </w:pPr>
    <w:rPr>
      <w:sz w:val="18"/>
      <w:szCs w:val="18"/>
    </w:rPr>
  </w:style>
  <w:style w:type="paragraph" w:styleId="10">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locked/>
    <w:uiPriority w:val="0"/>
    <w:rPr>
      <w:b/>
    </w:rPr>
  </w:style>
  <w:style w:type="character" w:customStyle="1" w:styleId="15">
    <w:name w:val="页眉 字符"/>
    <w:basedOn w:val="13"/>
    <w:link w:val="10"/>
    <w:qFormat/>
    <w:locked/>
    <w:uiPriority w:val="99"/>
    <w:rPr>
      <w:sz w:val="18"/>
      <w:szCs w:val="18"/>
    </w:rPr>
  </w:style>
  <w:style w:type="character" w:customStyle="1" w:styleId="16">
    <w:name w:val="页脚 字符"/>
    <w:basedOn w:val="13"/>
    <w:link w:val="9"/>
    <w:semiHidden/>
    <w:qFormat/>
    <w:locked/>
    <w:uiPriority w:val="99"/>
    <w:rPr>
      <w:sz w:val="18"/>
      <w:szCs w:val="18"/>
    </w:rPr>
  </w:style>
  <w:style w:type="character" w:customStyle="1" w:styleId="17">
    <w:name w:val="纯文本 字符"/>
    <w:basedOn w:val="13"/>
    <w:link w:val="8"/>
    <w:qFormat/>
    <w:uiPriority w:val="0"/>
    <w:rPr>
      <w:rFonts w:ascii="宋体" w:hAnsi="Courier New"/>
      <w:kern w:val="2"/>
      <w:sz w:val="21"/>
    </w:rPr>
  </w:style>
  <w:style w:type="paragraph" w:customStyle="1" w:styleId="18">
    <w:name w:val="列出段落1"/>
    <w:basedOn w:val="1"/>
    <w:qFormat/>
    <w:uiPriority w:val="34"/>
    <w:pPr>
      <w:ind w:firstLine="420" w:firstLineChars="200"/>
    </w:pPr>
  </w:style>
  <w:style w:type="paragraph" w:customStyle="1" w:styleId="19">
    <w:name w:val="正文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b6c81183-6eab-403c-bfc8-b82dae067491</errorID>
      <errorWord>，</errorWord>
      <group>L1_Word</group>
      <groupName>字词问题</groupName>
      <ability>L2_Typo</ability>
      <abilityName>字词错误</abilityName>
      <candidateList>
        <item>，在</item>
      </candidateList>
      <explain/>
      <paraID>2EF2D17D</paraID>
      <start>20</start>
      <end>22</end>
      <status>modified</status>
      <modifiedWord>，在</modifiedWord>
      <trackRevisions>false</trackRevisions>
    </reviewItem>
    <reviewItem>
      <errorID>2d388fa4-3bf9-42b1-851f-383a2fa2fae1</errorID>
      <errorWord>Ｏ</errorWord>
      <group>L1_Format</group>
      <groupName>格式问题</groupName>
      <ability>L2_HalfPunc</ability>
      <abilityName>全半角检查</abilityName>
      <candidateList>
        <item>O</item>
      </candidateList>
      <explain>文本全半角错误。</explain>
      <paraID>5560E06C</paraID>
      <start>30</start>
      <end>31</end>
      <status>modified</status>
      <modifiedWord>O</modifiedWord>
      <trackRevisions>false</trackRevisions>
    </reviewItem>
    <reviewItem>
      <errorID>b5bee6a7-aa9e-4a04-919a-c0dbb7f6d52d</errorID>
      <errorWord>括</errorWord>
      <group>L1_Word</group>
      <groupName>字词问题</groupName>
      <ability>L2_Typo</ability>
      <abilityName>字词错误</abilityName>
      <candidateList>
        <item>括但</item>
      </candidateList>
      <explain/>
      <paraID>4617E407</paraID>
      <start>44</start>
      <end>46</end>
      <status>modified</status>
      <modifiedWord>括但</modifiedWord>
      <trackRevisions>false</trackRevisions>
    </reviewItem>
    <reviewItem>
      <errorID>eb581497-db54-4cd0-8961-8dcbe70e6d1b</errorID>
      <errorWord>Ｏ</errorWord>
      <group>L1_Format</group>
      <groupName>格式问题</groupName>
      <ability>L2_HalfPunc</ability>
      <abilityName>全半角检查</abilityName>
      <candidateList>
        <item>O</item>
      </candidateList>
      <explain>文本全半角错误。</explain>
      <paraID>1C3FDF0B</paraID>
      <start>30</start>
      <end>31</end>
      <status>modified</status>
      <modifiedWord>O</modifiedWord>
      <trackRevisions>false</trackRevisions>
    </reviewItem>
    <reviewItem>
      <errorID>25d2907b-8c63-4339-9089-54fa9fdb29aa</errorID>
      <errorWord>，</errorWord>
      <group>L1_Word</group>
      <groupName>字词问题</groupName>
      <ability>L2_Typo</ability>
      <abilityName>字词错误</abilityName>
      <candidateList>
        <item>，在</item>
      </candidateList>
      <explain/>
      <paraID>3A6604CA</paraID>
      <start>13</start>
      <end>15</end>
      <status>modified</status>
      <modifiedWord>，在</modifiedWord>
      <trackRevisions>false</trackRevisions>
    </reviewItem>
    <reviewItem>
      <errorID>3ac6fc9a-45d0-4c3d-a6af-c49c0ea62b7b</errorID>
      <errorWord>利</errorWord>
      <group>L1_Word</group>
      <groupName>字词问题</groupName>
      <ability>L2_Typo</ability>
      <abilityName>字词错误</abilityName>
      <candidateList>
        <item>利于</item>
      </candidateList>
      <explain/>
      <paraID>  3C4BF6</paraID>
      <start>56</start>
      <end>58</end>
      <status>modified</status>
      <modifiedWord>利于</modifiedWord>
      <trackRevisions>false</trackRevisions>
    </reviewItem>
    <reviewItem>
      <errorID>7600df76-d22a-47ab-8069-2559f708102e</errorID>
      <errorWord>司</errorWord>
      <group>L1_Word</group>
      <groupName>字词问题</groupName>
      <ability>L2_Typo</ability>
      <abilityName>字词错误</abilityName>
      <candidateList>
        <item>司作</item>
      </candidateList>
      <explain/>
      <paraID>  3C4BF6</paraID>
      <start>76</start>
      <end>78</end>
      <status>modified</status>
      <modifiedWord>司作</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df9309-8136-489b-8968-f6305bde6b7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2055</Words>
  <Characters>2120</Characters>
  <Lines>10</Lines>
  <Paragraphs>3</Paragraphs>
  <TotalTime>0</TotalTime>
  <ScaleCrop>false</ScaleCrop>
  <LinksUpToDate>false</LinksUpToDate>
  <CharactersWithSpaces>2122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2018-11-04T06:29:00Z</dcterms:created>
  <dc:creator>admin</dc:creator>
  <cp:lastModifiedBy>郭慧玲</cp:lastModifiedBy>
  <cp:lastPrinted>2022-06-19T07:40:00Z</cp:lastPrinted>
  <dcterms:modified xsi:type="dcterms:W3CDTF">2026-07-08T09:04:43Z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eyJoZGlkIjoiYjRmNjdhNzNlM2EzMDg4MTk0YWNiZTQwODNjYTI3MjkiLCJ1c2VySWQiOiIxNjQ1NTY5NDQzIn0=</vt:lpwstr>
  </property>
  <property fmtid="{D5CDD505-2E9C-101B-9397-08002B2CF9AE}" pid="4" name="ICV">
    <vt:lpwstr>B75ED5EBA3524B639434B049CE5FB009_12</vt:lpwstr>
  </property>
</Properties>
</file>