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7D241">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0" w:name="_Hlk528933888"/>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附件2：</w:t>
      </w:r>
    </w:p>
    <w:p w14:paraId="16AC0433">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heme="minorEastAsia" w:hAnsiTheme="minorEastAsia" w:eastAsiaTheme="minorEastAsia" w:cstheme="minorEastAsia"/>
          <w:b/>
          <w:bCs/>
          <w:i w:val="0"/>
          <w:caps w:val="0"/>
          <w:color w:val="000000" w:themeColor="text1"/>
          <w:spacing w:val="0"/>
          <w:kern w:val="0"/>
          <w:sz w:val="44"/>
          <w:szCs w:val="44"/>
          <w:shd w:val="clear" w:fill="FFFFFF"/>
          <w:lang w:val="en-US" w:eastAsia="zh-CN" w:bidi="ar"/>
          <w14:textFill>
            <w14:solidFill>
              <w14:schemeClr w14:val="tx1"/>
            </w14:solidFill>
          </w14:textFill>
        </w:rPr>
      </w:pPr>
    </w:p>
    <w:p w14:paraId="400441B3">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广州市花都区动物卫生监督中心2026年瘦肉精检测卡及药物残留检测试剂盒采购项目</w:t>
      </w:r>
    </w:p>
    <w:p w14:paraId="3ADA956C">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评分方案</w:t>
      </w:r>
    </w:p>
    <w:p w14:paraId="46E3FF48">
      <w:pPr>
        <w:keepNext w:val="0"/>
        <w:keepLines w:val="0"/>
        <w:pageBreakBefore w:val="0"/>
        <w:widowControl w:val="0"/>
        <w:kinsoku/>
        <w:wordWrap/>
        <w:overflowPunct/>
        <w:topLinePunct w:val="0"/>
        <w:autoSpaceDE/>
        <w:autoSpaceDN/>
        <w:bidi w:val="0"/>
        <w:spacing w:line="560" w:lineRule="exact"/>
        <w:ind w:firstLine="883" w:firstLineChars="200"/>
        <w:textAlignment w:val="auto"/>
        <w:rPr>
          <w:rFonts w:ascii="宋体" w:cs="Times New Roman"/>
          <w:b/>
          <w:bCs/>
          <w:color w:val="000000" w:themeColor="text1"/>
          <w:sz w:val="44"/>
          <w:szCs w:val="44"/>
          <w14:textFill>
            <w14:solidFill>
              <w14:schemeClr w14:val="tx1"/>
            </w14:solidFill>
          </w14:textFill>
        </w:rPr>
      </w:pPr>
    </w:p>
    <w:p w14:paraId="0FDD8F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一、评标小组</w:t>
      </w:r>
    </w:p>
    <w:p w14:paraId="0648C8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通过随机抽取的方式抽取区动物卫生监督中心政府采购项目评审成员库成员组成询价评审小组成员，局机关纪委派员担任项目监督员。</w:t>
      </w:r>
    </w:p>
    <w:p w14:paraId="73A7C1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二、评审方式</w:t>
      </w:r>
    </w:p>
    <w:p w14:paraId="65175E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召开现场评审会，对投标人的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报价材料</w:t>
      </w:r>
      <w:r>
        <w:rPr>
          <w:rFonts w:hint="eastAsia" w:ascii="仿宋_GB2312" w:hAnsi="仿宋_GB2312" w:eastAsia="仿宋_GB2312" w:cs="仿宋_GB2312"/>
          <w:color w:val="000000" w:themeColor="text1"/>
          <w:sz w:val="32"/>
          <w:szCs w:val="32"/>
          <w14:textFill>
            <w14:solidFill>
              <w14:schemeClr w14:val="tx1"/>
            </w14:solidFill>
          </w14:textFill>
        </w:rPr>
        <w:t>进行现场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拆封</w:t>
      </w:r>
      <w:r>
        <w:rPr>
          <w:rFonts w:hint="eastAsia" w:ascii="仿宋_GB2312" w:hAnsi="仿宋_GB2312" w:eastAsia="仿宋_GB2312" w:cs="仿宋_GB2312"/>
          <w:color w:val="000000" w:themeColor="text1"/>
          <w:sz w:val="32"/>
          <w:szCs w:val="32"/>
          <w14:textFill>
            <w14:solidFill>
              <w14:schemeClr w14:val="tx1"/>
            </w14:solidFill>
          </w14:textFill>
        </w:rPr>
        <w:t>、评审，确定中标单位。</w:t>
      </w:r>
    </w:p>
    <w:p w14:paraId="4714B9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三、评审项目及控制价</w:t>
      </w:r>
    </w:p>
    <w:p w14:paraId="7A3AD3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评审项目：2026年瘦肉精检测卡及药物残留检测试剂盒采购项目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67005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控制价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不超过人民币41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60620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四、评审</w:t>
      </w:r>
      <w:r>
        <w:rPr>
          <w:rFonts w:hint="eastAsia" w:ascii="黑体" w:hAnsi="黑体" w:eastAsia="黑体" w:cs="黑体"/>
          <w:b w:val="0"/>
          <w:bCs w:val="0"/>
          <w:color w:val="000000" w:themeColor="text1"/>
          <w:sz w:val="32"/>
          <w:szCs w:val="32"/>
          <w:lang w:val="en-US" w:eastAsia="zh-CN"/>
          <w14:textFill>
            <w14:solidFill>
              <w14:schemeClr w14:val="tx1"/>
            </w14:solidFill>
          </w14:textFill>
        </w:rPr>
        <w:t>原则</w:t>
      </w:r>
    </w:p>
    <w:p w14:paraId="3EEEBB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在询价评审中，评委对投标人进行符合性审查，同等条件下，选取报价最低的投标人。</w:t>
      </w:r>
    </w:p>
    <w:p w14:paraId="775E39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、评审流程及标准</w:t>
      </w:r>
    </w:p>
    <w:p w14:paraId="7F82FB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（一）初步评审</w:t>
      </w:r>
    </w:p>
    <w:p w14:paraId="2062EC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对</w:t>
      </w:r>
      <w:r>
        <w:rPr>
          <w:rFonts w:hint="eastAsia" w:ascii="仿宋" w:hAnsi="仿宋" w:eastAsia="仿宋" w:cs="仿宋"/>
          <w:color w:val="000000" w:themeColor="text1"/>
          <w:sz w:val="32"/>
          <w:szCs w:val="32"/>
          <w:lang w:val="en-US" w:eastAsia="zh-CN"/>
          <w14:textFill>
            <w14:solidFill>
              <w14:schemeClr w14:val="tx1"/>
            </w14:solidFill>
          </w14:textFill>
        </w:rPr>
        <w:t>投标人资格性</w:t>
      </w:r>
      <w:r>
        <w:rPr>
          <w:rFonts w:hint="eastAsia" w:ascii="仿宋" w:hAnsi="仿宋" w:eastAsia="仿宋" w:cs="仿宋"/>
          <w:color w:val="000000" w:themeColor="text1"/>
          <w:sz w:val="32"/>
          <w:szCs w:val="32"/>
          <w14:textFill>
            <w14:solidFill>
              <w14:schemeClr w14:val="tx1"/>
            </w14:solidFill>
          </w14:textFill>
        </w:rPr>
        <w:t>进行评审（见表1）</w:t>
      </w:r>
      <w:r>
        <w:rPr>
          <w:rFonts w:hint="eastAsia" w:ascii="仿宋" w:hAnsi="仿宋" w:eastAsia="仿宋" w:cs="仿宋"/>
          <w:color w:val="000000" w:themeColor="text1"/>
          <w:sz w:val="32"/>
          <w:szCs w:val="32"/>
          <w:lang w:eastAsia="zh-CN"/>
          <w14:textFill>
            <w14:solidFill>
              <w14:schemeClr w14:val="tx1"/>
            </w14:solidFill>
          </w14:textFill>
        </w:rPr>
        <w:t>。</w:t>
      </w:r>
    </w:p>
    <w:p w14:paraId="311B79B3">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表1：</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评审表</w:t>
      </w:r>
    </w:p>
    <w:tbl>
      <w:tblPr>
        <w:tblStyle w:val="10"/>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59"/>
        <w:gridCol w:w="5878"/>
        <w:gridCol w:w="750"/>
        <w:gridCol w:w="705"/>
        <w:gridCol w:w="840"/>
      </w:tblGrid>
      <w:tr w14:paraId="45C6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5" w:hRule="atLeast"/>
        </w:trPr>
        <w:tc>
          <w:tcPr>
            <w:tcW w:w="659" w:type="dxa"/>
            <w:vMerge w:val="restart"/>
            <w:shd w:val="clear" w:color="auto" w:fill="auto"/>
            <w:vAlign w:val="center"/>
          </w:tcPr>
          <w:p w14:paraId="481AD6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序号</w:t>
            </w:r>
          </w:p>
        </w:tc>
        <w:tc>
          <w:tcPr>
            <w:tcW w:w="5878" w:type="dxa"/>
            <w:vMerge w:val="restart"/>
            <w:shd w:val="clear" w:color="auto" w:fill="auto"/>
            <w:vAlign w:val="center"/>
          </w:tcPr>
          <w:p w14:paraId="30DDF7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资格</w:t>
            </w: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性</w:t>
            </w: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审查内容</w:t>
            </w:r>
          </w:p>
        </w:tc>
        <w:tc>
          <w:tcPr>
            <w:tcW w:w="2295" w:type="dxa"/>
            <w:gridSpan w:val="3"/>
            <w:shd w:val="clear" w:color="auto" w:fill="auto"/>
            <w:vAlign w:val="center"/>
          </w:tcPr>
          <w:p w14:paraId="3F264C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是否符合</w:t>
            </w:r>
          </w:p>
        </w:tc>
      </w:tr>
      <w:tr w14:paraId="359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0" w:hRule="atLeast"/>
        </w:trPr>
        <w:tc>
          <w:tcPr>
            <w:tcW w:w="659" w:type="dxa"/>
            <w:vMerge w:val="continue"/>
            <w:shd w:val="clear" w:color="auto" w:fill="auto"/>
            <w:vAlign w:val="center"/>
          </w:tcPr>
          <w:p w14:paraId="18A7BA3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5878" w:type="dxa"/>
            <w:vMerge w:val="continue"/>
            <w:shd w:val="clear" w:color="auto" w:fill="auto"/>
            <w:vAlign w:val="center"/>
          </w:tcPr>
          <w:p w14:paraId="75DD81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750" w:type="dxa"/>
            <w:shd w:val="clear" w:color="auto" w:fill="auto"/>
            <w:vAlign w:val="center"/>
          </w:tcPr>
          <w:p w14:paraId="17C885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A公司</w:t>
            </w:r>
          </w:p>
        </w:tc>
        <w:tc>
          <w:tcPr>
            <w:tcW w:w="705" w:type="dxa"/>
            <w:shd w:val="clear" w:color="auto" w:fill="auto"/>
            <w:vAlign w:val="center"/>
          </w:tcPr>
          <w:p w14:paraId="26C5F3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B公司</w:t>
            </w:r>
          </w:p>
        </w:tc>
        <w:tc>
          <w:tcPr>
            <w:tcW w:w="840" w:type="dxa"/>
            <w:shd w:val="clear" w:color="auto" w:fill="auto"/>
            <w:vAlign w:val="center"/>
          </w:tcPr>
          <w:p w14:paraId="4E4082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D公司</w:t>
            </w:r>
          </w:p>
        </w:tc>
      </w:tr>
      <w:tr w14:paraId="598E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16" w:hRule="atLeast"/>
        </w:trPr>
        <w:tc>
          <w:tcPr>
            <w:tcW w:w="659" w:type="dxa"/>
            <w:shd w:val="clear" w:color="auto" w:fill="auto"/>
            <w:vAlign w:val="center"/>
          </w:tcPr>
          <w:p w14:paraId="15FBF6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1</w:t>
            </w:r>
          </w:p>
        </w:tc>
        <w:tc>
          <w:tcPr>
            <w:tcW w:w="5878" w:type="dxa"/>
            <w:shd w:val="clear" w:color="auto" w:fill="auto"/>
            <w:vAlign w:val="center"/>
          </w:tcPr>
          <w:p w14:paraId="5B19CDA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kern w:val="0"/>
                <w:sz w:val="21"/>
                <w:szCs w:val="21"/>
                <w:u w:val="none"/>
                <w:lang w:val="en-US" w:eastAsia="zh-CN" w:bidi="ar"/>
              </w:rPr>
              <w:t>营业执照（或事业单位法人证书，或社会团体法人登记证书，或执业许可证）、组织机构代码证和税务登记证（或三证合一证明）复印件。</w:t>
            </w:r>
          </w:p>
        </w:tc>
        <w:tc>
          <w:tcPr>
            <w:tcW w:w="750" w:type="dxa"/>
            <w:shd w:val="clear" w:color="auto" w:fill="auto"/>
            <w:vAlign w:val="center"/>
          </w:tcPr>
          <w:p w14:paraId="792783B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EE557B8">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82B379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4FC4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rPr>
        <w:tc>
          <w:tcPr>
            <w:tcW w:w="659" w:type="dxa"/>
            <w:shd w:val="clear" w:color="auto" w:fill="auto"/>
            <w:vAlign w:val="center"/>
          </w:tcPr>
          <w:p w14:paraId="6BEA49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2</w:t>
            </w:r>
          </w:p>
        </w:tc>
        <w:tc>
          <w:tcPr>
            <w:tcW w:w="5878" w:type="dxa"/>
            <w:shd w:val="clear" w:color="auto" w:fill="auto"/>
            <w:vAlign w:val="center"/>
          </w:tcPr>
          <w:p w14:paraId="32B4BC1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有良好的商业信誉和健全的财务会计制度（提供证明材料）</w:t>
            </w:r>
          </w:p>
        </w:tc>
        <w:tc>
          <w:tcPr>
            <w:tcW w:w="750" w:type="dxa"/>
            <w:shd w:val="clear" w:color="auto" w:fill="auto"/>
            <w:vAlign w:val="center"/>
          </w:tcPr>
          <w:p w14:paraId="29CE679D">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786E95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E955D6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C45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5" w:hRule="atLeast"/>
        </w:trPr>
        <w:tc>
          <w:tcPr>
            <w:tcW w:w="659" w:type="dxa"/>
            <w:shd w:val="clear" w:color="auto" w:fill="auto"/>
            <w:vAlign w:val="center"/>
          </w:tcPr>
          <w:p w14:paraId="3BE195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3</w:t>
            </w:r>
          </w:p>
        </w:tc>
        <w:tc>
          <w:tcPr>
            <w:tcW w:w="5878" w:type="dxa"/>
            <w:shd w:val="clear" w:color="auto" w:fill="auto"/>
            <w:vAlign w:val="center"/>
          </w:tcPr>
          <w:p w14:paraId="4B24B64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具有履行合同所必需的设备和专业技术能力（若投标方是生产厂家需提供设备发票及照片，若投标方是代理商可只提供承诺函）。</w:t>
            </w:r>
          </w:p>
        </w:tc>
        <w:tc>
          <w:tcPr>
            <w:tcW w:w="750" w:type="dxa"/>
            <w:shd w:val="clear" w:color="auto" w:fill="auto"/>
            <w:vAlign w:val="center"/>
          </w:tcPr>
          <w:p w14:paraId="7308912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0299D51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5FEB66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167E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0E5400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4</w:t>
            </w:r>
          </w:p>
        </w:tc>
        <w:tc>
          <w:tcPr>
            <w:tcW w:w="5878" w:type="dxa"/>
            <w:shd w:val="clear" w:color="auto" w:fill="auto"/>
            <w:vAlign w:val="center"/>
          </w:tcPr>
          <w:p w14:paraId="56BBBFB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有依法缴纳税收和社会保障资金的良好记录（提供证明材料）</w:t>
            </w:r>
          </w:p>
        </w:tc>
        <w:tc>
          <w:tcPr>
            <w:tcW w:w="750" w:type="dxa"/>
            <w:shd w:val="clear" w:color="auto" w:fill="auto"/>
            <w:vAlign w:val="center"/>
          </w:tcPr>
          <w:p w14:paraId="48B15DF0">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73C607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0F3A63D">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3D7D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rPr>
        <w:tc>
          <w:tcPr>
            <w:tcW w:w="659" w:type="dxa"/>
            <w:shd w:val="clear" w:color="auto" w:fill="auto"/>
            <w:vAlign w:val="center"/>
          </w:tcPr>
          <w:p w14:paraId="2FA774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5</w:t>
            </w:r>
          </w:p>
        </w:tc>
        <w:tc>
          <w:tcPr>
            <w:tcW w:w="5878" w:type="dxa"/>
            <w:shd w:val="clear" w:color="auto" w:fill="auto"/>
            <w:vAlign w:val="center"/>
          </w:tcPr>
          <w:p w14:paraId="33CADD7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参加政府采购活动前三年内，在经营活动中没有重大违法记录（可提供承诺函）。</w:t>
            </w:r>
          </w:p>
        </w:tc>
        <w:tc>
          <w:tcPr>
            <w:tcW w:w="750" w:type="dxa"/>
            <w:shd w:val="clear" w:color="auto" w:fill="auto"/>
            <w:vAlign w:val="center"/>
          </w:tcPr>
          <w:p w14:paraId="796F2E0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C5FFC0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65CACE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94C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80" w:hRule="atLeast"/>
        </w:trPr>
        <w:tc>
          <w:tcPr>
            <w:tcW w:w="659" w:type="dxa"/>
            <w:shd w:val="clear" w:color="auto" w:fill="auto"/>
            <w:vAlign w:val="center"/>
          </w:tcPr>
          <w:p w14:paraId="21F451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6</w:t>
            </w:r>
          </w:p>
        </w:tc>
        <w:tc>
          <w:tcPr>
            <w:tcW w:w="5878" w:type="dxa"/>
            <w:shd w:val="clear" w:color="auto" w:fill="auto"/>
            <w:vAlign w:val="center"/>
          </w:tcPr>
          <w:p w14:paraId="38A6E57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响应函（如果是法定代表人亲自签署响应文件，则提供法定代表人证明书；如不是法定代表人亲自签署响应文件，则须提供法定代表人证明书及法定代表人的授权书，须提交且签字有效、并加盖公章有效）</w:t>
            </w:r>
          </w:p>
        </w:tc>
        <w:tc>
          <w:tcPr>
            <w:tcW w:w="750" w:type="dxa"/>
            <w:shd w:val="clear" w:color="auto" w:fill="auto"/>
            <w:vAlign w:val="center"/>
          </w:tcPr>
          <w:p w14:paraId="1FFCEA3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69C128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29412190">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EFC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8" w:hRule="atLeast"/>
        </w:trPr>
        <w:tc>
          <w:tcPr>
            <w:tcW w:w="659" w:type="dxa"/>
            <w:shd w:val="clear" w:color="auto" w:fill="auto"/>
            <w:vAlign w:val="center"/>
          </w:tcPr>
          <w:p w14:paraId="388A10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7</w:t>
            </w:r>
          </w:p>
        </w:tc>
        <w:tc>
          <w:tcPr>
            <w:tcW w:w="5878" w:type="dxa"/>
            <w:shd w:val="clear" w:color="auto" w:fill="auto"/>
            <w:vAlign w:val="center"/>
          </w:tcPr>
          <w:p w14:paraId="4BCAA5E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法定代表人证明书或法定代表人授权委托书、经办人复印件。</w:t>
            </w:r>
          </w:p>
        </w:tc>
        <w:tc>
          <w:tcPr>
            <w:tcW w:w="750" w:type="dxa"/>
            <w:shd w:val="clear" w:color="auto" w:fill="auto"/>
            <w:vAlign w:val="center"/>
          </w:tcPr>
          <w:p w14:paraId="35AFE16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F0971A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52087F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E02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trPr>
        <w:tc>
          <w:tcPr>
            <w:tcW w:w="659" w:type="dxa"/>
            <w:shd w:val="clear" w:color="auto" w:fill="auto"/>
            <w:vAlign w:val="center"/>
          </w:tcPr>
          <w:p w14:paraId="5B303A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结果</w:t>
            </w:r>
          </w:p>
        </w:tc>
        <w:tc>
          <w:tcPr>
            <w:tcW w:w="5878" w:type="dxa"/>
            <w:shd w:val="clear" w:color="auto" w:fill="auto"/>
            <w:vAlign w:val="center"/>
          </w:tcPr>
          <w:p w14:paraId="6B45D567">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50" w:type="dxa"/>
            <w:shd w:val="clear" w:color="auto" w:fill="auto"/>
            <w:vAlign w:val="center"/>
          </w:tcPr>
          <w:p w14:paraId="1AEE631C">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05" w:type="dxa"/>
            <w:shd w:val="clear" w:color="auto" w:fill="auto"/>
            <w:vAlign w:val="center"/>
          </w:tcPr>
          <w:p w14:paraId="008BE37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840" w:type="dxa"/>
            <w:shd w:val="clear" w:color="auto" w:fill="auto"/>
            <w:vAlign w:val="center"/>
          </w:tcPr>
          <w:p w14:paraId="772051A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themeColor="text1"/>
                <w:sz w:val="21"/>
                <w:szCs w:val="21"/>
                <w:u w:val="none"/>
                <w14:textFill>
                  <w14:solidFill>
                    <w14:schemeClr w14:val="tx1"/>
                  </w14:solidFill>
                </w14:textFill>
              </w:rPr>
            </w:pPr>
          </w:p>
        </w:tc>
      </w:tr>
    </w:tbl>
    <w:p w14:paraId="2A4C23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审查项目评审标准为“通过”和“不通过”，通过的打“Ｏ”，不通过的打“×”。如对</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审查评审中有一项不能通过评审，则最终评审结果为“不通过”。</w:t>
      </w:r>
      <w:r>
        <w:rPr>
          <w:rFonts w:hint="eastAsia" w:ascii="仿宋" w:hAnsi="仿宋" w:eastAsia="仿宋" w:cs="仿宋"/>
          <w:color w:val="000000" w:themeColor="text1"/>
          <w:sz w:val="32"/>
          <w:szCs w:val="32"/>
          <w:lang w:val="en-US" w:eastAsia="zh-CN"/>
          <w14:textFill>
            <w14:solidFill>
              <w14:schemeClr w14:val="tx1"/>
            </w14:solidFill>
          </w14:textFill>
        </w:rPr>
        <w:t>通过的进入符合性评审环节。</w:t>
      </w:r>
    </w:p>
    <w:p w14:paraId="7AB68FBF">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2.对投标人符合性进行评审（见表2）</w:t>
      </w:r>
    </w:p>
    <w:p w14:paraId="2F6E08F7">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：符合性</w:t>
      </w:r>
      <w:r>
        <w:rPr>
          <w:rFonts w:hint="eastAsia" w:ascii="仿宋" w:hAnsi="仿宋" w:eastAsia="仿宋" w:cs="仿宋"/>
          <w:color w:val="000000" w:themeColor="text1"/>
          <w:sz w:val="32"/>
          <w:szCs w:val="32"/>
          <w:lang w:val="en-US" w:eastAsia="zh-CN"/>
          <w14:textFill>
            <w14:solidFill>
              <w14:schemeClr w14:val="tx1"/>
            </w14:solidFill>
          </w14:textFill>
        </w:rPr>
        <w:t>审查</w:t>
      </w:r>
      <w:r>
        <w:rPr>
          <w:rFonts w:hint="eastAsia" w:ascii="仿宋" w:hAnsi="仿宋" w:eastAsia="仿宋" w:cs="仿宋"/>
          <w:color w:val="000000" w:themeColor="text1"/>
          <w:sz w:val="32"/>
          <w:szCs w:val="32"/>
          <w14:textFill>
            <w14:solidFill>
              <w14:schemeClr w14:val="tx1"/>
            </w14:solidFill>
          </w14:textFill>
        </w:rPr>
        <w:t>表</w:t>
      </w:r>
    </w:p>
    <w:tbl>
      <w:tblPr>
        <w:tblStyle w:val="10"/>
        <w:tblW w:w="8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59"/>
        <w:gridCol w:w="5878"/>
        <w:gridCol w:w="750"/>
        <w:gridCol w:w="705"/>
        <w:gridCol w:w="840"/>
      </w:tblGrid>
      <w:tr w14:paraId="6E11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55" w:hRule="atLeast"/>
          <w:jc w:val="center"/>
        </w:trPr>
        <w:tc>
          <w:tcPr>
            <w:tcW w:w="659" w:type="dxa"/>
            <w:vMerge w:val="restart"/>
            <w:shd w:val="clear" w:color="auto" w:fill="auto"/>
            <w:vAlign w:val="center"/>
          </w:tcPr>
          <w:p w14:paraId="57CA446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5878" w:type="dxa"/>
            <w:vMerge w:val="restart"/>
            <w:shd w:val="clear" w:color="auto" w:fill="auto"/>
            <w:vAlign w:val="center"/>
          </w:tcPr>
          <w:p w14:paraId="00714C5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资格审查内容</w:t>
            </w:r>
          </w:p>
        </w:tc>
        <w:tc>
          <w:tcPr>
            <w:tcW w:w="2295" w:type="dxa"/>
            <w:gridSpan w:val="3"/>
            <w:shd w:val="clear" w:color="auto" w:fill="auto"/>
            <w:vAlign w:val="center"/>
          </w:tcPr>
          <w:p w14:paraId="456A414F">
            <w:pPr>
              <w:keepNext w:val="0"/>
              <w:keepLines w:val="0"/>
              <w:widowControl/>
              <w:suppressLineNumbers w:val="0"/>
              <w:jc w:val="center"/>
              <w:textAlignment w:val="center"/>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b/>
                <w:bCs/>
                <w:i w:val="0"/>
                <w:color w:val="000000"/>
                <w:kern w:val="0"/>
                <w:sz w:val="20"/>
                <w:szCs w:val="20"/>
                <w:u w:val="none"/>
                <w:lang w:val="en-US" w:eastAsia="zh-CN" w:bidi="ar"/>
              </w:rPr>
              <w:t>是否符合</w:t>
            </w:r>
          </w:p>
        </w:tc>
      </w:tr>
      <w:tr w14:paraId="496E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05" w:hRule="atLeast"/>
          <w:jc w:val="center"/>
        </w:trPr>
        <w:tc>
          <w:tcPr>
            <w:tcW w:w="659" w:type="dxa"/>
            <w:vMerge w:val="continue"/>
            <w:shd w:val="clear" w:color="auto" w:fill="auto"/>
            <w:vAlign w:val="center"/>
          </w:tcPr>
          <w:p w14:paraId="3F5348A3">
            <w:pPr>
              <w:jc w:val="center"/>
              <w:rPr>
                <w:rFonts w:hint="eastAsia" w:ascii="宋体" w:hAnsi="宋体" w:eastAsia="宋体" w:cs="宋体"/>
                <w:b/>
                <w:bCs/>
                <w:i w:val="0"/>
                <w:color w:val="000000"/>
                <w:sz w:val="20"/>
                <w:szCs w:val="20"/>
                <w:u w:val="none"/>
              </w:rPr>
            </w:pPr>
          </w:p>
        </w:tc>
        <w:tc>
          <w:tcPr>
            <w:tcW w:w="5878" w:type="dxa"/>
            <w:vMerge w:val="continue"/>
            <w:shd w:val="clear" w:color="auto" w:fill="auto"/>
            <w:vAlign w:val="center"/>
          </w:tcPr>
          <w:p w14:paraId="287C346C">
            <w:pPr>
              <w:jc w:val="center"/>
              <w:rPr>
                <w:rFonts w:hint="eastAsia" w:ascii="宋体" w:hAnsi="宋体" w:eastAsia="宋体" w:cs="宋体"/>
                <w:b/>
                <w:bCs/>
                <w:i w:val="0"/>
                <w:color w:val="000000"/>
                <w:sz w:val="20"/>
                <w:szCs w:val="20"/>
                <w:u w:val="none"/>
              </w:rPr>
            </w:pPr>
          </w:p>
        </w:tc>
        <w:tc>
          <w:tcPr>
            <w:tcW w:w="750" w:type="dxa"/>
            <w:shd w:val="clear" w:color="auto" w:fill="auto"/>
            <w:vAlign w:val="center"/>
          </w:tcPr>
          <w:p w14:paraId="2AB1710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cs="宋体"/>
                <w:b/>
                <w:bCs/>
                <w:i w:val="0"/>
                <w:color w:val="000000"/>
                <w:kern w:val="0"/>
                <w:sz w:val="20"/>
                <w:szCs w:val="20"/>
                <w:u w:val="none"/>
                <w:lang w:val="en-US" w:eastAsia="zh-CN" w:bidi="ar"/>
              </w:rPr>
              <w:t>A</w:t>
            </w:r>
            <w:r>
              <w:rPr>
                <w:rFonts w:hint="eastAsia" w:ascii="宋体" w:hAnsi="宋体" w:eastAsia="宋体" w:cs="宋体"/>
                <w:b/>
                <w:bCs/>
                <w:i w:val="0"/>
                <w:color w:val="000000"/>
                <w:kern w:val="0"/>
                <w:sz w:val="20"/>
                <w:szCs w:val="20"/>
                <w:u w:val="none"/>
                <w:lang w:val="en-US" w:eastAsia="zh-CN" w:bidi="ar"/>
              </w:rPr>
              <w:t>公司</w:t>
            </w:r>
          </w:p>
        </w:tc>
        <w:tc>
          <w:tcPr>
            <w:tcW w:w="705" w:type="dxa"/>
            <w:shd w:val="clear" w:color="auto" w:fill="auto"/>
            <w:vAlign w:val="center"/>
          </w:tcPr>
          <w:p w14:paraId="34065FA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cs="宋体"/>
                <w:b/>
                <w:bCs/>
                <w:i w:val="0"/>
                <w:color w:val="000000"/>
                <w:kern w:val="0"/>
                <w:sz w:val="20"/>
                <w:szCs w:val="20"/>
                <w:u w:val="none"/>
                <w:lang w:val="en-US" w:eastAsia="zh-CN" w:bidi="ar"/>
              </w:rPr>
              <w:t>B</w:t>
            </w:r>
            <w:r>
              <w:rPr>
                <w:rFonts w:hint="eastAsia" w:ascii="宋体" w:hAnsi="宋体" w:eastAsia="宋体" w:cs="宋体"/>
                <w:b/>
                <w:bCs/>
                <w:i w:val="0"/>
                <w:color w:val="000000"/>
                <w:kern w:val="0"/>
                <w:sz w:val="20"/>
                <w:szCs w:val="20"/>
                <w:u w:val="none"/>
                <w:lang w:val="en-US" w:eastAsia="zh-CN" w:bidi="ar"/>
              </w:rPr>
              <w:t>公司</w:t>
            </w:r>
          </w:p>
        </w:tc>
        <w:tc>
          <w:tcPr>
            <w:tcW w:w="840" w:type="dxa"/>
            <w:shd w:val="clear" w:color="auto" w:fill="auto"/>
            <w:vAlign w:val="center"/>
          </w:tcPr>
          <w:p w14:paraId="3AEA8FF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cs="宋体"/>
                <w:b/>
                <w:bCs/>
                <w:i w:val="0"/>
                <w:color w:val="000000"/>
                <w:kern w:val="0"/>
                <w:sz w:val="20"/>
                <w:szCs w:val="20"/>
                <w:u w:val="none"/>
                <w:lang w:val="en-US" w:eastAsia="zh-CN" w:bidi="ar"/>
              </w:rPr>
              <w:t>C</w:t>
            </w:r>
            <w:r>
              <w:rPr>
                <w:rFonts w:hint="eastAsia" w:ascii="宋体" w:hAnsi="宋体" w:eastAsia="宋体" w:cs="宋体"/>
                <w:b/>
                <w:bCs/>
                <w:i w:val="0"/>
                <w:color w:val="000000"/>
                <w:kern w:val="0"/>
                <w:sz w:val="20"/>
                <w:szCs w:val="20"/>
                <w:u w:val="none"/>
                <w:lang w:val="en-US" w:eastAsia="zh-CN" w:bidi="ar"/>
              </w:rPr>
              <w:t>公司</w:t>
            </w:r>
          </w:p>
        </w:tc>
      </w:tr>
      <w:tr w14:paraId="6F63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65" w:hRule="atLeast"/>
          <w:jc w:val="center"/>
        </w:trPr>
        <w:tc>
          <w:tcPr>
            <w:tcW w:w="659" w:type="dxa"/>
            <w:shd w:val="clear" w:color="auto" w:fill="auto"/>
            <w:vAlign w:val="center"/>
          </w:tcPr>
          <w:p w14:paraId="5436543A">
            <w:pPr>
              <w:keepNext w:val="0"/>
              <w:keepLines w:val="0"/>
              <w:widowControl/>
              <w:suppressLineNumbers w:val="0"/>
              <w:jc w:val="center"/>
              <w:textAlignment w:val="center"/>
              <w:rPr>
                <w:rFonts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1</w:t>
            </w:r>
          </w:p>
        </w:tc>
        <w:tc>
          <w:tcPr>
            <w:tcW w:w="5878" w:type="dxa"/>
            <w:shd w:val="clear" w:color="auto" w:fill="auto"/>
            <w:vAlign w:val="center"/>
          </w:tcPr>
          <w:p w14:paraId="739C6C9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1.★所投产品的生产企业具有ISO9001质量体系认证。</w:t>
            </w:r>
          </w:p>
          <w:p w14:paraId="633BB34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color w:val="000000" w:themeColor="text1"/>
                <w:sz w:val="21"/>
                <w:szCs w:val="21"/>
                <w:u w:val="none"/>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2.★所投产品的“瘦肉精”快速检测卡三项和多联卡在《关于印送2025年度“瘦肉精”免疫速测产品评价结果的函》（国检（京饲）函〔2025〕5号）的推荐清单中，所投产品须为GMP企业生产，均适用基质为：动物尿液，且多残留试纸卡评价结果为十二合一及以上，并提供盐酸克伦特罗、莱克多巴胺、沙丁胺醇三类瘦肉精高浓度标准品（100ppb）各10ml。</w:t>
            </w:r>
            <w:bookmarkStart w:id="2" w:name="_GoBack"/>
            <w:bookmarkEnd w:id="2"/>
          </w:p>
        </w:tc>
        <w:tc>
          <w:tcPr>
            <w:tcW w:w="750" w:type="dxa"/>
            <w:shd w:val="clear" w:color="auto" w:fill="auto"/>
            <w:vAlign w:val="center"/>
          </w:tcPr>
          <w:p w14:paraId="0AC14649">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617C25C7">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10FDE175">
            <w:pPr>
              <w:jc w:val="both"/>
              <w:rPr>
                <w:rFonts w:hint="default" w:ascii="Calibri" w:hAnsi="Calibri" w:eastAsia="宋体" w:cs="Calibri"/>
                <w:i w:val="0"/>
                <w:color w:val="000000"/>
                <w:sz w:val="20"/>
                <w:szCs w:val="20"/>
                <w:u w:val="none"/>
              </w:rPr>
            </w:pPr>
          </w:p>
        </w:tc>
      </w:tr>
      <w:tr w14:paraId="6261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45" w:hRule="atLeast"/>
          <w:jc w:val="center"/>
        </w:trPr>
        <w:tc>
          <w:tcPr>
            <w:tcW w:w="659" w:type="dxa"/>
            <w:shd w:val="clear" w:color="auto" w:fill="auto"/>
            <w:vAlign w:val="center"/>
          </w:tcPr>
          <w:p w14:paraId="00514897">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default" w:ascii="Calibri" w:hAnsi="Calibri" w:eastAsia="宋体" w:cs="Calibri"/>
                <w:i w:val="0"/>
                <w:color w:val="000000"/>
                <w:kern w:val="0"/>
                <w:sz w:val="20"/>
                <w:szCs w:val="20"/>
                <w:u w:val="none"/>
                <w:lang w:val="en-US" w:eastAsia="zh-CN" w:bidi="ar"/>
              </w:rPr>
              <w:t>2</w:t>
            </w:r>
          </w:p>
        </w:tc>
        <w:tc>
          <w:tcPr>
            <w:tcW w:w="5878" w:type="dxa"/>
            <w:shd w:val="clear" w:color="auto" w:fill="auto"/>
            <w:vAlign w:val="center"/>
          </w:tcPr>
          <w:p w14:paraId="7549CF92">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i w:val="0"/>
                <w:color w:val="000000" w:themeColor="text1"/>
                <w:sz w:val="21"/>
                <w:szCs w:val="21"/>
                <w:u w:val="none"/>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打“★”号条款为实质性条款，投标人如有任何一条负偏离则导致投标无效，投标人是否符合相关要求，并提供相应试剂盒技术参数/说明书复印件、服务承诺函。</w:t>
            </w:r>
          </w:p>
        </w:tc>
        <w:tc>
          <w:tcPr>
            <w:tcW w:w="750" w:type="dxa"/>
            <w:shd w:val="clear" w:color="auto" w:fill="auto"/>
            <w:vAlign w:val="center"/>
          </w:tcPr>
          <w:p w14:paraId="3A2E293A">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3B74B56D">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101791EA">
            <w:pPr>
              <w:jc w:val="both"/>
              <w:rPr>
                <w:rFonts w:hint="default" w:ascii="Calibri" w:hAnsi="Calibri" w:eastAsia="宋体" w:cs="Calibri"/>
                <w:i w:val="0"/>
                <w:color w:val="000000"/>
                <w:sz w:val="20"/>
                <w:szCs w:val="20"/>
                <w:u w:val="none"/>
              </w:rPr>
            </w:pPr>
          </w:p>
        </w:tc>
      </w:tr>
      <w:tr w14:paraId="2FF0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0" w:hRule="atLeast"/>
          <w:jc w:val="center"/>
        </w:trPr>
        <w:tc>
          <w:tcPr>
            <w:tcW w:w="659" w:type="dxa"/>
            <w:shd w:val="clear" w:color="auto" w:fill="auto"/>
            <w:vAlign w:val="center"/>
          </w:tcPr>
          <w:p w14:paraId="453F01A8">
            <w:pPr>
              <w:keepNext w:val="0"/>
              <w:keepLines w:val="0"/>
              <w:widowControl/>
              <w:suppressLineNumbers w:val="0"/>
              <w:jc w:val="center"/>
              <w:textAlignment w:val="center"/>
              <w:rPr>
                <w:rFonts w:hint="default" w:ascii="Calibri" w:hAnsi="Calibri" w:eastAsia="宋体" w:cs="Calibri"/>
                <w:i w:val="0"/>
                <w:color w:val="000000"/>
                <w:sz w:val="20"/>
                <w:szCs w:val="20"/>
                <w:u w:val="none"/>
              </w:rPr>
            </w:pPr>
            <w:r>
              <w:rPr>
                <w:rFonts w:hint="eastAsia" w:cs="Calibri"/>
                <w:i w:val="0"/>
                <w:color w:val="000000"/>
                <w:kern w:val="0"/>
                <w:sz w:val="20"/>
                <w:szCs w:val="20"/>
                <w:u w:val="none"/>
                <w:lang w:val="en-US" w:eastAsia="zh-CN" w:bidi="ar"/>
              </w:rPr>
              <w:t>3</w:t>
            </w:r>
          </w:p>
        </w:tc>
        <w:tc>
          <w:tcPr>
            <w:tcW w:w="5878" w:type="dxa"/>
            <w:shd w:val="clear" w:color="auto" w:fill="auto"/>
            <w:vAlign w:val="center"/>
          </w:tcPr>
          <w:p w14:paraId="08F7679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其他相关文件（1.质量保证措施方案；2.售后服务方案、售后服务机构情况介绍；3.交货、运输方案；4.生产商针对本项目出具的授权书，授权书中须注明项目名称及项目编号（代理商提供）。以上文件如果过于简单，未能真实表述相关内容要求的视作不符合。</w:t>
            </w:r>
          </w:p>
        </w:tc>
        <w:tc>
          <w:tcPr>
            <w:tcW w:w="750" w:type="dxa"/>
            <w:shd w:val="clear" w:color="auto" w:fill="auto"/>
            <w:vAlign w:val="center"/>
          </w:tcPr>
          <w:p w14:paraId="17FF685E">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03F1B92B">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120A837E">
            <w:pPr>
              <w:jc w:val="both"/>
              <w:rPr>
                <w:rFonts w:hint="default" w:ascii="Calibri" w:hAnsi="Calibri" w:eastAsia="宋体" w:cs="Calibri"/>
                <w:i w:val="0"/>
                <w:color w:val="000000"/>
                <w:sz w:val="20"/>
                <w:szCs w:val="20"/>
                <w:u w:val="none"/>
              </w:rPr>
            </w:pPr>
          </w:p>
        </w:tc>
      </w:tr>
      <w:tr w14:paraId="3F31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70" w:hRule="atLeast"/>
          <w:jc w:val="center"/>
        </w:trPr>
        <w:tc>
          <w:tcPr>
            <w:tcW w:w="659" w:type="dxa"/>
            <w:shd w:val="clear" w:color="auto" w:fill="auto"/>
            <w:vAlign w:val="center"/>
          </w:tcPr>
          <w:p w14:paraId="68AE7418">
            <w:pPr>
              <w:keepNext w:val="0"/>
              <w:keepLines w:val="0"/>
              <w:widowControl/>
              <w:suppressLineNumbers w:val="0"/>
              <w:jc w:val="center"/>
              <w:textAlignment w:val="center"/>
              <w:rPr>
                <w:rFonts w:hint="eastAsia" w:ascii="Calibri" w:hAnsi="Calibri" w:eastAsia="宋体" w:cs="Calibri"/>
                <w:i w:val="0"/>
                <w:color w:val="000000"/>
                <w:sz w:val="20"/>
                <w:szCs w:val="20"/>
                <w:u w:val="none"/>
                <w:lang w:val="en-US" w:eastAsia="zh-CN"/>
              </w:rPr>
            </w:pPr>
            <w:r>
              <w:rPr>
                <w:rFonts w:hint="eastAsia" w:cs="Calibri"/>
                <w:i w:val="0"/>
                <w:color w:val="000000"/>
                <w:sz w:val="20"/>
                <w:szCs w:val="20"/>
                <w:u w:val="none"/>
                <w:lang w:val="en-US" w:eastAsia="zh-CN"/>
              </w:rPr>
              <w:t>4</w:t>
            </w:r>
          </w:p>
        </w:tc>
        <w:tc>
          <w:tcPr>
            <w:tcW w:w="5878" w:type="dxa"/>
            <w:shd w:val="clear" w:color="auto" w:fill="auto"/>
            <w:vAlign w:val="center"/>
          </w:tcPr>
          <w:p w14:paraId="4953F63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合同期间协助采购方举办不少于2次食品安全相关培训班，培训产生所有费用由中标方支付，提供承诺书。（加盖公章有效）</w:t>
            </w:r>
          </w:p>
        </w:tc>
        <w:tc>
          <w:tcPr>
            <w:tcW w:w="750" w:type="dxa"/>
            <w:shd w:val="clear" w:color="auto" w:fill="auto"/>
            <w:vAlign w:val="center"/>
          </w:tcPr>
          <w:p w14:paraId="4CB953A6">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6292B63E">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21B0C044">
            <w:pPr>
              <w:jc w:val="both"/>
              <w:rPr>
                <w:rFonts w:hint="default" w:ascii="Calibri" w:hAnsi="Calibri" w:eastAsia="宋体" w:cs="Calibri"/>
                <w:i w:val="0"/>
                <w:color w:val="000000"/>
                <w:sz w:val="20"/>
                <w:szCs w:val="20"/>
                <w:u w:val="none"/>
              </w:rPr>
            </w:pPr>
          </w:p>
        </w:tc>
      </w:tr>
      <w:tr w14:paraId="2A8C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0" w:hRule="atLeast"/>
          <w:jc w:val="center"/>
        </w:trPr>
        <w:tc>
          <w:tcPr>
            <w:tcW w:w="659" w:type="dxa"/>
            <w:shd w:val="clear" w:color="auto" w:fill="auto"/>
            <w:vAlign w:val="center"/>
          </w:tcPr>
          <w:p w14:paraId="28ABE74C">
            <w:pPr>
              <w:keepNext w:val="0"/>
              <w:keepLines w:val="0"/>
              <w:widowControl/>
              <w:suppressLineNumbers w:val="0"/>
              <w:jc w:val="center"/>
              <w:textAlignment w:val="center"/>
              <w:rPr>
                <w:rFonts w:hint="default" w:ascii="Calibri" w:hAnsi="Calibri" w:eastAsia="宋体" w:cs="Calibri"/>
                <w:i w:val="0"/>
                <w:color w:val="000000"/>
                <w:sz w:val="20"/>
                <w:szCs w:val="20"/>
                <w:u w:val="none"/>
                <w:lang w:val="en-US" w:eastAsia="zh-CN"/>
              </w:rPr>
            </w:pPr>
            <w:r>
              <w:rPr>
                <w:rFonts w:hint="eastAsia" w:cs="Calibri"/>
                <w:i w:val="0"/>
                <w:color w:val="000000"/>
                <w:sz w:val="20"/>
                <w:szCs w:val="20"/>
                <w:u w:val="none"/>
                <w:lang w:val="en-US" w:eastAsia="zh-CN"/>
              </w:rPr>
              <w:t>5</w:t>
            </w:r>
          </w:p>
        </w:tc>
        <w:tc>
          <w:tcPr>
            <w:tcW w:w="5878" w:type="dxa"/>
            <w:shd w:val="clear" w:color="auto" w:fill="auto"/>
            <w:vAlign w:val="center"/>
          </w:tcPr>
          <w:p w14:paraId="21AF2C5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承诺函</w:t>
            </w:r>
          </w:p>
        </w:tc>
        <w:tc>
          <w:tcPr>
            <w:tcW w:w="750" w:type="dxa"/>
            <w:shd w:val="clear" w:color="auto" w:fill="auto"/>
            <w:vAlign w:val="center"/>
          </w:tcPr>
          <w:p w14:paraId="45D5224A">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5613D0A2">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061DBF92">
            <w:pPr>
              <w:jc w:val="both"/>
              <w:rPr>
                <w:rFonts w:hint="default" w:ascii="Calibri" w:hAnsi="Calibri" w:eastAsia="宋体" w:cs="Calibri"/>
                <w:i w:val="0"/>
                <w:color w:val="000000"/>
                <w:sz w:val="20"/>
                <w:szCs w:val="20"/>
                <w:u w:val="none"/>
              </w:rPr>
            </w:pPr>
          </w:p>
        </w:tc>
      </w:tr>
      <w:tr w14:paraId="21C5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0" w:hRule="atLeast"/>
          <w:jc w:val="center"/>
        </w:trPr>
        <w:tc>
          <w:tcPr>
            <w:tcW w:w="659" w:type="dxa"/>
            <w:shd w:val="clear" w:color="auto" w:fill="auto"/>
            <w:vAlign w:val="center"/>
          </w:tcPr>
          <w:p w14:paraId="259B33D1">
            <w:pPr>
              <w:keepNext w:val="0"/>
              <w:keepLines w:val="0"/>
              <w:widowControl/>
              <w:suppressLineNumbers w:val="0"/>
              <w:jc w:val="center"/>
              <w:textAlignment w:val="center"/>
              <w:rPr>
                <w:rFonts w:hint="default" w:ascii="Calibri" w:hAnsi="Calibri" w:eastAsia="宋体" w:cs="Calibri"/>
                <w:i w:val="0"/>
                <w:color w:val="000000" w:themeColor="text1"/>
                <w:kern w:val="0"/>
                <w:sz w:val="20"/>
                <w:szCs w:val="20"/>
                <w:u w:val="none"/>
                <w:lang w:val="en-US" w:eastAsia="zh-CN" w:bidi="ar"/>
                <w14:textFill>
                  <w14:solidFill>
                    <w14:schemeClr w14:val="tx1"/>
                  </w14:solidFill>
                </w14:textFill>
              </w:rPr>
            </w:pPr>
            <w:r>
              <w:rPr>
                <w:rFonts w:hint="eastAsia" w:cs="Calibri"/>
                <w:i w:val="0"/>
                <w:color w:val="000000" w:themeColor="text1"/>
                <w:kern w:val="0"/>
                <w:sz w:val="20"/>
                <w:szCs w:val="20"/>
                <w:u w:val="none"/>
                <w:lang w:val="en-US" w:eastAsia="zh-CN" w:bidi="ar"/>
                <w14:textFill>
                  <w14:solidFill>
                    <w14:schemeClr w14:val="tx1"/>
                  </w14:solidFill>
                </w14:textFill>
              </w:rPr>
              <w:t>6</w:t>
            </w:r>
          </w:p>
        </w:tc>
        <w:tc>
          <w:tcPr>
            <w:tcW w:w="5878" w:type="dxa"/>
            <w:shd w:val="clear" w:color="auto" w:fill="auto"/>
            <w:vAlign w:val="center"/>
          </w:tcPr>
          <w:p w14:paraId="6461D51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报价表</w:t>
            </w:r>
          </w:p>
        </w:tc>
        <w:tc>
          <w:tcPr>
            <w:tcW w:w="750" w:type="dxa"/>
            <w:shd w:val="clear" w:color="auto" w:fill="auto"/>
            <w:vAlign w:val="center"/>
          </w:tcPr>
          <w:p w14:paraId="5C7A238C">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015CB641">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795D118A">
            <w:pPr>
              <w:jc w:val="both"/>
              <w:rPr>
                <w:rFonts w:hint="default" w:ascii="Calibri" w:hAnsi="Calibri" w:eastAsia="宋体" w:cs="Calibri"/>
                <w:i w:val="0"/>
                <w:color w:val="000000"/>
                <w:sz w:val="20"/>
                <w:szCs w:val="20"/>
                <w:u w:val="none"/>
              </w:rPr>
            </w:pPr>
          </w:p>
        </w:tc>
      </w:tr>
      <w:tr w14:paraId="2C83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0" w:hRule="atLeast"/>
          <w:jc w:val="center"/>
        </w:trPr>
        <w:tc>
          <w:tcPr>
            <w:tcW w:w="659" w:type="dxa"/>
            <w:shd w:val="clear" w:color="auto" w:fill="auto"/>
            <w:vAlign w:val="center"/>
          </w:tcPr>
          <w:p w14:paraId="70E1B5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结果</w:t>
            </w:r>
          </w:p>
        </w:tc>
        <w:tc>
          <w:tcPr>
            <w:tcW w:w="5878" w:type="dxa"/>
            <w:shd w:val="clear" w:color="auto" w:fill="auto"/>
            <w:vAlign w:val="center"/>
          </w:tcPr>
          <w:p w14:paraId="319C0D33">
            <w:pPr>
              <w:jc w:val="both"/>
              <w:rPr>
                <w:rFonts w:hint="default" w:ascii="Calibri" w:hAnsi="Calibri" w:eastAsia="宋体" w:cs="Calibri"/>
                <w:i w:val="0"/>
                <w:color w:val="000000"/>
                <w:sz w:val="20"/>
                <w:szCs w:val="20"/>
                <w:u w:val="none"/>
              </w:rPr>
            </w:pPr>
          </w:p>
        </w:tc>
        <w:tc>
          <w:tcPr>
            <w:tcW w:w="750" w:type="dxa"/>
            <w:shd w:val="clear" w:color="auto" w:fill="auto"/>
            <w:vAlign w:val="center"/>
          </w:tcPr>
          <w:p w14:paraId="026220DB">
            <w:pPr>
              <w:jc w:val="both"/>
              <w:rPr>
                <w:rFonts w:hint="default" w:ascii="Calibri" w:hAnsi="Calibri" w:eastAsia="宋体" w:cs="Calibri"/>
                <w:i w:val="0"/>
                <w:color w:val="000000"/>
                <w:sz w:val="20"/>
                <w:szCs w:val="20"/>
                <w:u w:val="none"/>
              </w:rPr>
            </w:pPr>
          </w:p>
        </w:tc>
        <w:tc>
          <w:tcPr>
            <w:tcW w:w="705" w:type="dxa"/>
            <w:shd w:val="clear" w:color="auto" w:fill="auto"/>
            <w:vAlign w:val="center"/>
          </w:tcPr>
          <w:p w14:paraId="48089234">
            <w:pPr>
              <w:jc w:val="both"/>
              <w:rPr>
                <w:rFonts w:hint="default" w:ascii="Calibri" w:hAnsi="Calibri" w:eastAsia="宋体" w:cs="Calibri"/>
                <w:i w:val="0"/>
                <w:color w:val="000000"/>
                <w:sz w:val="20"/>
                <w:szCs w:val="20"/>
                <w:u w:val="none"/>
              </w:rPr>
            </w:pPr>
          </w:p>
        </w:tc>
        <w:tc>
          <w:tcPr>
            <w:tcW w:w="840" w:type="dxa"/>
            <w:shd w:val="clear" w:color="auto" w:fill="auto"/>
            <w:vAlign w:val="center"/>
          </w:tcPr>
          <w:p w14:paraId="209B2010">
            <w:pPr>
              <w:rPr>
                <w:rFonts w:hint="eastAsia" w:ascii="宋体" w:hAnsi="宋体" w:eastAsia="宋体" w:cs="宋体"/>
                <w:i w:val="0"/>
                <w:color w:val="000000"/>
                <w:sz w:val="20"/>
                <w:szCs w:val="20"/>
                <w:u w:val="none"/>
              </w:rPr>
            </w:pPr>
          </w:p>
        </w:tc>
      </w:tr>
    </w:tbl>
    <w:p w14:paraId="12DC0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以上符合性审查项目评审标准为“通过”和“不通过”，通过的打“Ｏ”，不通过的打“×”。如对符合性审查评审中有一项不能通过评审，则最终评审结果为“不通过”。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通过的进入报价评审环节。</w:t>
      </w:r>
    </w:p>
    <w:p w14:paraId="2F4CA1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（二）</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报价评审</w:t>
      </w:r>
    </w:p>
    <w:p w14:paraId="6B00BA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评委对投标人进行符合性审查，同等条件下，按照“符合采购需求，质量和服务相等且总报价最低”的原则确定供应商。</w:t>
      </w:r>
    </w:p>
    <w:p w14:paraId="5BABAFF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报价评审表</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4272"/>
        <w:gridCol w:w="1908"/>
        <w:gridCol w:w="1475"/>
      </w:tblGrid>
      <w:tr w14:paraId="244F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5401FE4D">
            <w:pPr>
              <w:spacing w:line="480" w:lineRule="exact"/>
              <w:jc w:val="center"/>
              <w:rPr>
                <w:rFonts w:hint="eastAsia" w:ascii="仿宋" w:hAnsi="仿宋" w:eastAsia="仿宋" w:cs="仿宋"/>
                <w:b/>
                <w:bCs/>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4272" w:type="dxa"/>
            <w:vAlign w:val="center"/>
          </w:tcPr>
          <w:p w14:paraId="4F2A61F4">
            <w:pPr>
              <w:spacing w:line="480" w:lineRule="exact"/>
              <w:jc w:val="center"/>
              <w:rPr>
                <w:rFonts w:hint="eastAsia" w:ascii="仿宋" w:hAnsi="仿宋" w:eastAsia="仿宋" w:cs="仿宋"/>
                <w:b/>
                <w:bCs/>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投标人公司</w:t>
            </w:r>
            <w:r>
              <w:rPr>
                <w:rFonts w:hint="eastAsia" w:ascii="仿宋" w:hAnsi="仿宋" w:eastAsia="仿宋" w:cs="仿宋"/>
                <w:b/>
                <w:bCs/>
                <w:color w:val="000000" w:themeColor="text1"/>
                <w:sz w:val="28"/>
                <w:szCs w:val="28"/>
                <w14:textFill>
                  <w14:solidFill>
                    <w14:schemeClr w14:val="tx1"/>
                  </w14:solidFill>
                </w14:textFill>
              </w:rPr>
              <w:t>名称</w:t>
            </w:r>
          </w:p>
        </w:tc>
        <w:tc>
          <w:tcPr>
            <w:tcW w:w="1908" w:type="dxa"/>
            <w:vAlign w:val="center"/>
          </w:tcPr>
          <w:p w14:paraId="7EACCF1B">
            <w:pPr>
              <w:spacing w:line="480" w:lineRule="exact"/>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报价</w:t>
            </w:r>
            <w:r>
              <w:rPr>
                <w:rFonts w:hint="eastAsia" w:ascii="仿宋" w:hAnsi="仿宋" w:eastAsia="仿宋" w:cs="仿宋"/>
                <w:b/>
                <w:bCs/>
                <w:color w:val="000000" w:themeColor="text1"/>
                <w:sz w:val="28"/>
                <w:szCs w:val="28"/>
                <w:lang w:eastAsia="zh-CN"/>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元</w:t>
            </w:r>
            <w:r>
              <w:rPr>
                <w:rFonts w:hint="eastAsia" w:ascii="仿宋" w:hAnsi="仿宋" w:eastAsia="仿宋" w:cs="仿宋"/>
                <w:b/>
                <w:bCs/>
                <w:color w:val="000000" w:themeColor="text1"/>
                <w:sz w:val="28"/>
                <w:szCs w:val="28"/>
                <w:lang w:eastAsia="zh-CN"/>
                <w14:textFill>
                  <w14:solidFill>
                    <w14:schemeClr w14:val="tx1"/>
                  </w14:solidFill>
                </w14:textFill>
              </w:rPr>
              <w:t>）</w:t>
            </w:r>
          </w:p>
        </w:tc>
        <w:tc>
          <w:tcPr>
            <w:tcW w:w="1475" w:type="dxa"/>
            <w:vAlign w:val="center"/>
          </w:tcPr>
          <w:p w14:paraId="68A49B96">
            <w:pPr>
              <w:spacing w:line="480" w:lineRule="exact"/>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备注</w:t>
            </w:r>
          </w:p>
        </w:tc>
      </w:tr>
      <w:tr w14:paraId="6122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0D664BA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1</w:t>
            </w:r>
          </w:p>
        </w:tc>
        <w:tc>
          <w:tcPr>
            <w:tcW w:w="4272" w:type="dxa"/>
            <w:vAlign w:val="center"/>
          </w:tcPr>
          <w:p w14:paraId="59E0EFF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66EABFB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22304A3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23F9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6DA26C9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2</w:t>
            </w:r>
          </w:p>
        </w:tc>
        <w:tc>
          <w:tcPr>
            <w:tcW w:w="4272" w:type="dxa"/>
            <w:vAlign w:val="center"/>
          </w:tcPr>
          <w:p w14:paraId="5C25530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27EF92E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551175D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6E01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36BF952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3</w:t>
            </w:r>
          </w:p>
        </w:tc>
        <w:tc>
          <w:tcPr>
            <w:tcW w:w="4272" w:type="dxa"/>
            <w:vAlign w:val="center"/>
          </w:tcPr>
          <w:p w14:paraId="7FC9698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75525E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6C3B201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317F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0E0A62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4</w:t>
            </w:r>
          </w:p>
        </w:tc>
        <w:tc>
          <w:tcPr>
            <w:tcW w:w="4272" w:type="dxa"/>
            <w:vAlign w:val="center"/>
          </w:tcPr>
          <w:p w14:paraId="20E2B5A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17F1395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2BC5749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1A02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8522" w:type="dxa"/>
            <w:gridSpan w:val="4"/>
            <w:vAlign w:val="center"/>
          </w:tcPr>
          <w:p w14:paraId="54ABC03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left"/>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t>结论：经过对上述x家公司的各项条件对比，xxxx公司在同类项目服务经验及服务费报价上较其他x家公司更有优势，更有利本项目服务的开展。因此，建议xxx公司为本项目的供应商。</w:t>
            </w:r>
          </w:p>
        </w:tc>
      </w:tr>
    </w:tbl>
    <w:p w14:paraId="49B1C2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（三）</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选定供应商</w:t>
      </w:r>
    </w:p>
    <w:p w14:paraId="264596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按照符合性审查结果，</w:t>
      </w:r>
      <w:r>
        <w:rPr>
          <w:rFonts w:hint="eastAsia" w:ascii="仿宋_GB2312" w:hAnsi="仿宋_GB2312" w:eastAsia="仿宋_GB2312" w:cs="仿宋_GB2312"/>
          <w:color w:val="000000" w:themeColor="text1"/>
          <w:sz w:val="32"/>
          <w:szCs w:val="32"/>
          <w14:textFill>
            <w14:solidFill>
              <w14:schemeClr w14:val="tx1"/>
            </w14:solidFill>
          </w14:textFill>
        </w:rPr>
        <w:t>按投标报价由低到高顺序排列</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bookmarkStart w:id="1" w:name="_Hlk528938996"/>
      <w:r>
        <w:rPr>
          <w:rFonts w:hint="eastAsia" w:ascii="仿宋_GB2312" w:hAnsi="仿宋_GB2312" w:eastAsia="仿宋_GB2312" w:cs="仿宋_GB2312"/>
          <w:color w:val="000000" w:themeColor="text1"/>
          <w:sz w:val="32"/>
          <w:szCs w:val="32"/>
          <w14:textFill>
            <w14:solidFill>
              <w14:schemeClr w14:val="tx1"/>
            </w14:solidFill>
          </w14:textFill>
        </w:rPr>
        <w:t>同等条件下，选取报价最低的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投标</w:t>
      </w:r>
      <w:r>
        <w:rPr>
          <w:rFonts w:hint="eastAsia" w:ascii="仿宋_GB2312" w:hAnsi="仿宋_GB2312" w:eastAsia="仿宋_GB2312" w:cs="仿宋_GB2312"/>
          <w:color w:val="000000" w:themeColor="text1"/>
          <w:sz w:val="32"/>
          <w:szCs w:val="32"/>
          <w14:textFill>
            <w14:solidFill>
              <w14:schemeClr w14:val="tx1"/>
            </w14:solidFill>
          </w14:textFill>
        </w:rPr>
        <w:t>人。</w:t>
      </w:r>
    </w:p>
    <w:p w14:paraId="1816F4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w:t>
      </w:r>
      <w:r>
        <w:rPr>
          <w:rFonts w:hint="eastAsia" w:ascii="黑体" w:hAnsi="黑体" w:eastAsia="黑体" w:cs="黑体"/>
          <w:b w:val="0"/>
          <w:bCs w:val="0"/>
          <w:color w:val="000000" w:themeColor="text1"/>
          <w:sz w:val="32"/>
          <w:szCs w:val="32"/>
          <w14:textFill>
            <w14:solidFill>
              <w14:schemeClr w14:val="tx1"/>
            </w14:solidFill>
          </w14:textFill>
        </w:rPr>
        <w:t>评审结果公示</w:t>
      </w:r>
      <w:bookmarkEnd w:id="0"/>
      <w:bookmarkEnd w:id="1"/>
    </w:p>
    <w:p w14:paraId="1E4B663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评审结果将会在广州市花都区农业农村局网站进行公示。</w:t>
      </w:r>
    </w:p>
    <w:sectPr>
      <w:headerReference r:id="rId3" w:type="default"/>
      <w:footerReference r:id="rId4" w:type="default"/>
      <w:pgSz w:w="11906" w:h="16838"/>
      <w:pgMar w:top="2098" w:right="1417"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DAE9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DCEE8">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7C6DCEE8">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54A8">
    <w:pPr>
      <w:pStyle w:val="7"/>
      <w:pBdr>
        <w:bottom w:val="none" w:color="auto" w:sz="0" w:space="1"/>
      </w:pBdr>
      <w:jc w:val="both"/>
      <w:rPr>
        <w:rFonts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YzdlYjBlMzE4NWRiMzMzZmI1MTM0MjAzZGZhNmMifQ=="/>
  </w:docVars>
  <w:rsids>
    <w:rsidRoot w:val="00875638"/>
    <w:rsid w:val="00092CE9"/>
    <w:rsid w:val="000E3D9E"/>
    <w:rsid w:val="000F1236"/>
    <w:rsid w:val="00107E59"/>
    <w:rsid w:val="001332A8"/>
    <w:rsid w:val="00184D8C"/>
    <w:rsid w:val="001B5505"/>
    <w:rsid w:val="001C3ED8"/>
    <w:rsid w:val="001D2BEC"/>
    <w:rsid w:val="00211540"/>
    <w:rsid w:val="00215BB2"/>
    <w:rsid w:val="00231044"/>
    <w:rsid w:val="0023544F"/>
    <w:rsid w:val="00235684"/>
    <w:rsid w:val="00265BD8"/>
    <w:rsid w:val="00266EB6"/>
    <w:rsid w:val="0028528E"/>
    <w:rsid w:val="002C31D5"/>
    <w:rsid w:val="002D4C80"/>
    <w:rsid w:val="00300F71"/>
    <w:rsid w:val="0031063F"/>
    <w:rsid w:val="00321591"/>
    <w:rsid w:val="003219E9"/>
    <w:rsid w:val="00324DD6"/>
    <w:rsid w:val="003326DA"/>
    <w:rsid w:val="003419B5"/>
    <w:rsid w:val="00351486"/>
    <w:rsid w:val="00364B5F"/>
    <w:rsid w:val="003721DE"/>
    <w:rsid w:val="003740E6"/>
    <w:rsid w:val="00374A95"/>
    <w:rsid w:val="003A0D67"/>
    <w:rsid w:val="003B537B"/>
    <w:rsid w:val="003C4990"/>
    <w:rsid w:val="003D4FF5"/>
    <w:rsid w:val="003D5A60"/>
    <w:rsid w:val="003E5501"/>
    <w:rsid w:val="0041206C"/>
    <w:rsid w:val="004211DE"/>
    <w:rsid w:val="00427D15"/>
    <w:rsid w:val="004327A8"/>
    <w:rsid w:val="00437207"/>
    <w:rsid w:val="00464E87"/>
    <w:rsid w:val="00484434"/>
    <w:rsid w:val="004A0B59"/>
    <w:rsid w:val="004B5D43"/>
    <w:rsid w:val="004C33F1"/>
    <w:rsid w:val="004D025A"/>
    <w:rsid w:val="00511B93"/>
    <w:rsid w:val="00533F78"/>
    <w:rsid w:val="00536260"/>
    <w:rsid w:val="00582EFE"/>
    <w:rsid w:val="005949A3"/>
    <w:rsid w:val="005F6FE5"/>
    <w:rsid w:val="00643D23"/>
    <w:rsid w:val="006500D3"/>
    <w:rsid w:val="00654898"/>
    <w:rsid w:val="0068592D"/>
    <w:rsid w:val="006C6722"/>
    <w:rsid w:val="006D484D"/>
    <w:rsid w:val="006F4A87"/>
    <w:rsid w:val="00701F6E"/>
    <w:rsid w:val="00707AA3"/>
    <w:rsid w:val="007966F0"/>
    <w:rsid w:val="007A0D32"/>
    <w:rsid w:val="007D40EA"/>
    <w:rsid w:val="007F0137"/>
    <w:rsid w:val="007F671A"/>
    <w:rsid w:val="00815B52"/>
    <w:rsid w:val="008167B1"/>
    <w:rsid w:val="00875638"/>
    <w:rsid w:val="008B08DD"/>
    <w:rsid w:val="008C6ACF"/>
    <w:rsid w:val="008D3EFF"/>
    <w:rsid w:val="00906A16"/>
    <w:rsid w:val="00923B3D"/>
    <w:rsid w:val="00940B64"/>
    <w:rsid w:val="00952C3D"/>
    <w:rsid w:val="00961563"/>
    <w:rsid w:val="00963D53"/>
    <w:rsid w:val="00967C39"/>
    <w:rsid w:val="0099149E"/>
    <w:rsid w:val="009918E9"/>
    <w:rsid w:val="009B690F"/>
    <w:rsid w:val="00A01753"/>
    <w:rsid w:val="00A21A12"/>
    <w:rsid w:val="00A25AAF"/>
    <w:rsid w:val="00A32030"/>
    <w:rsid w:val="00A511A5"/>
    <w:rsid w:val="00A577F6"/>
    <w:rsid w:val="00A60068"/>
    <w:rsid w:val="00A715F5"/>
    <w:rsid w:val="00A8255E"/>
    <w:rsid w:val="00A86ABB"/>
    <w:rsid w:val="00AA2D74"/>
    <w:rsid w:val="00AA5024"/>
    <w:rsid w:val="00AE2C7D"/>
    <w:rsid w:val="00AF1672"/>
    <w:rsid w:val="00B24A18"/>
    <w:rsid w:val="00B273BD"/>
    <w:rsid w:val="00B632D1"/>
    <w:rsid w:val="00B807D9"/>
    <w:rsid w:val="00B811C9"/>
    <w:rsid w:val="00BC1133"/>
    <w:rsid w:val="00BF18B8"/>
    <w:rsid w:val="00C168C1"/>
    <w:rsid w:val="00C21A2A"/>
    <w:rsid w:val="00C22A1F"/>
    <w:rsid w:val="00C264FD"/>
    <w:rsid w:val="00C94A57"/>
    <w:rsid w:val="00C96B47"/>
    <w:rsid w:val="00C97A81"/>
    <w:rsid w:val="00CB4A4E"/>
    <w:rsid w:val="00CC7BA2"/>
    <w:rsid w:val="00CD2A4D"/>
    <w:rsid w:val="00CD4A35"/>
    <w:rsid w:val="00CF449D"/>
    <w:rsid w:val="00D07DBD"/>
    <w:rsid w:val="00D16070"/>
    <w:rsid w:val="00D675D0"/>
    <w:rsid w:val="00D76FA6"/>
    <w:rsid w:val="00D822E6"/>
    <w:rsid w:val="00D863DE"/>
    <w:rsid w:val="00DA6600"/>
    <w:rsid w:val="00DC6806"/>
    <w:rsid w:val="00E07BF4"/>
    <w:rsid w:val="00E87B43"/>
    <w:rsid w:val="00E94BEC"/>
    <w:rsid w:val="00EA02B9"/>
    <w:rsid w:val="00EB6889"/>
    <w:rsid w:val="00EC19DC"/>
    <w:rsid w:val="00EC392F"/>
    <w:rsid w:val="00EC5C88"/>
    <w:rsid w:val="00EE20A4"/>
    <w:rsid w:val="00F3745A"/>
    <w:rsid w:val="00F450E5"/>
    <w:rsid w:val="00F546E3"/>
    <w:rsid w:val="00F73B97"/>
    <w:rsid w:val="00F77588"/>
    <w:rsid w:val="00F9122E"/>
    <w:rsid w:val="00FA47B5"/>
    <w:rsid w:val="00FD3060"/>
    <w:rsid w:val="00FE62E2"/>
    <w:rsid w:val="00FF1E4F"/>
    <w:rsid w:val="03742BB2"/>
    <w:rsid w:val="03F82848"/>
    <w:rsid w:val="04DC7DA2"/>
    <w:rsid w:val="05551A22"/>
    <w:rsid w:val="063B70FC"/>
    <w:rsid w:val="09E26BD3"/>
    <w:rsid w:val="0B800699"/>
    <w:rsid w:val="0C916C44"/>
    <w:rsid w:val="0E2A021A"/>
    <w:rsid w:val="0E4B09AA"/>
    <w:rsid w:val="0F790C96"/>
    <w:rsid w:val="14C66B32"/>
    <w:rsid w:val="14E1472B"/>
    <w:rsid w:val="156103F4"/>
    <w:rsid w:val="161A211F"/>
    <w:rsid w:val="163343D7"/>
    <w:rsid w:val="17656A9C"/>
    <w:rsid w:val="18507BCC"/>
    <w:rsid w:val="1BA231DE"/>
    <w:rsid w:val="1C186A2A"/>
    <w:rsid w:val="1D4357CD"/>
    <w:rsid w:val="1D5F0E19"/>
    <w:rsid w:val="2257679D"/>
    <w:rsid w:val="247B23D8"/>
    <w:rsid w:val="30D41EE0"/>
    <w:rsid w:val="32284600"/>
    <w:rsid w:val="32A265DB"/>
    <w:rsid w:val="335B4BC5"/>
    <w:rsid w:val="33E41CA4"/>
    <w:rsid w:val="354A2041"/>
    <w:rsid w:val="39127DB0"/>
    <w:rsid w:val="39420C9A"/>
    <w:rsid w:val="3BB27D21"/>
    <w:rsid w:val="3CF10966"/>
    <w:rsid w:val="3E647079"/>
    <w:rsid w:val="3EA8612D"/>
    <w:rsid w:val="40E11007"/>
    <w:rsid w:val="413F522A"/>
    <w:rsid w:val="462C23C1"/>
    <w:rsid w:val="46642D24"/>
    <w:rsid w:val="47CB04B5"/>
    <w:rsid w:val="48577C8E"/>
    <w:rsid w:val="48765219"/>
    <w:rsid w:val="4BE514F3"/>
    <w:rsid w:val="4CBC34E6"/>
    <w:rsid w:val="50F47563"/>
    <w:rsid w:val="52136F47"/>
    <w:rsid w:val="540624B7"/>
    <w:rsid w:val="54E25002"/>
    <w:rsid w:val="57A94D20"/>
    <w:rsid w:val="5B052D99"/>
    <w:rsid w:val="5C6F3B2D"/>
    <w:rsid w:val="5D112D55"/>
    <w:rsid w:val="617D18F8"/>
    <w:rsid w:val="62151FAE"/>
    <w:rsid w:val="62A22585"/>
    <w:rsid w:val="63BC6F59"/>
    <w:rsid w:val="63CF0FC5"/>
    <w:rsid w:val="649220B0"/>
    <w:rsid w:val="66696571"/>
    <w:rsid w:val="6A8D7B04"/>
    <w:rsid w:val="6AB15FC5"/>
    <w:rsid w:val="6B307B69"/>
    <w:rsid w:val="6B8A4DA2"/>
    <w:rsid w:val="6BBF6FD2"/>
    <w:rsid w:val="705527B8"/>
    <w:rsid w:val="70B84386"/>
    <w:rsid w:val="70DF5DB7"/>
    <w:rsid w:val="71286FBE"/>
    <w:rsid w:val="734377AD"/>
    <w:rsid w:val="7748458E"/>
    <w:rsid w:val="77F51F44"/>
    <w:rsid w:val="784312FA"/>
    <w:rsid w:val="790439F2"/>
    <w:rsid w:val="7BF514DC"/>
    <w:rsid w:val="7C1620AD"/>
    <w:rsid w:val="7FE9630A"/>
    <w:rsid w:val="7FFE5A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kern w:val="0"/>
      <w:sz w:val="20"/>
    </w:rPr>
  </w:style>
  <w:style w:type="paragraph" w:styleId="3">
    <w:name w:val="Date"/>
    <w:basedOn w:val="1"/>
    <w:next w:val="1"/>
    <w:qFormat/>
    <w:uiPriority w:val="0"/>
    <w:rPr>
      <w:sz w:val="24"/>
      <w:szCs w:val="20"/>
    </w:rPr>
  </w:style>
  <w:style w:type="paragraph" w:styleId="4">
    <w:name w:val="Body Text Indent"/>
    <w:basedOn w:val="1"/>
    <w:next w:val="1"/>
    <w:qFormat/>
    <w:uiPriority w:val="0"/>
    <w:pPr>
      <w:autoSpaceDE/>
      <w:autoSpaceDN/>
      <w:adjustRightInd/>
      <w:spacing w:line="560" w:lineRule="exact"/>
      <w:ind w:left="300"/>
      <w:jc w:val="both"/>
    </w:pPr>
    <w:rPr>
      <w:kern w:val="2"/>
      <w:sz w:val="24"/>
      <w:szCs w:val="24"/>
    </w:rPr>
  </w:style>
  <w:style w:type="paragraph" w:styleId="5">
    <w:name w:val="Plain Text"/>
    <w:basedOn w:val="1"/>
    <w:link w:val="15"/>
    <w:qFormat/>
    <w:uiPriority w:val="0"/>
    <w:rPr>
      <w:rFonts w:ascii="宋体" w:hAnsi="Courier New" w:cs="Times New Roman"/>
      <w:szCs w:val="20"/>
    </w:rPr>
  </w:style>
  <w:style w:type="paragraph" w:styleId="6">
    <w:name w:val="footer"/>
    <w:basedOn w:val="1"/>
    <w:link w:val="14"/>
    <w:semiHidden/>
    <w:qFormat/>
    <w:uiPriority w:val="99"/>
    <w:pPr>
      <w:tabs>
        <w:tab w:val="center" w:pos="4153"/>
        <w:tab w:val="right" w:pos="8306"/>
      </w:tabs>
      <w:snapToGrid w:val="0"/>
      <w:jc w:val="left"/>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qFormat/>
    <w:uiPriority w:val="0"/>
    <w:pPr>
      <w:widowControl w:val="0"/>
      <w:adjustRightInd w:val="0"/>
      <w:snapToGrid w:val="0"/>
      <w:spacing w:before="40" w:after="40"/>
      <w:ind w:firstLine="200" w:firstLineChars="200"/>
      <w:jc w:val="both"/>
    </w:pPr>
    <w:rPr>
      <w:kern w:val="2"/>
      <w:sz w:val="24"/>
    </w:rPr>
  </w:style>
  <w:style w:type="paragraph" w:styleId="9">
    <w:name w:val="Body Text First Indent 2"/>
    <w:basedOn w:val="4"/>
    <w:next w:val="8"/>
    <w:qFormat/>
    <w:uiPriority w:val="0"/>
    <w:pPr>
      <w:widowControl w:val="0"/>
      <w:ind w:left="200" w:leftChars="0" w:firstLine="200"/>
      <w:jc w:val="both"/>
    </w:pPr>
    <w:rPr>
      <w:rFonts w:ascii="宋体" w:hAnsi="宋体"/>
      <w:kern w:val="2"/>
    </w:rPr>
  </w:style>
  <w:style w:type="table" w:styleId="11">
    <w:name w:val="Table Grid"/>
    <w:basedOn w:val="10"/>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7"/>
    <w:qFormat/>
    <w:locked/>
    <w:uiPriority w:val="99"/>
    <w:rPr>
      <w:sz w:val="18"/>
      <w:szCs w:val="18"/>
    </w:rPr>
  </w:style>
  <w:style w:type="character" w:customStyle="1" w:styleId="14">
    <w:name w:val="页脚 字符"/>
    <w:basedOn w:val="12"/>
    <w:link w:val="6"/>
    <w:semiHidden/>
    <w:qFormat/>
    <w:locked/>
    <w:uiPriority w:val="99"/>
    <w:rPr>
      <w:sz w:val="18"/>
      <w:szCs w:val="18"/>
    </w:rPr>
  </w:style>
  <w:style w:type="character" w:customStyle="1" w:styleId="15">
    <w:name w:val="纯文本 字符"/>
    <w:basedOn w:val="12"/>
    <w:link w:val="5"/>
    <w:qFormat/>
    <w:uiPriority w:val="0"/>
    <w:rPr>
      <w:rFonts w:ascii="宋体" w:hAnsi="Courier New"/>
      <w:kern w:val="2"/>
      <w:sz w:val="21"/>
    </w:rPr>
  </w:style>
  <w:style w:type="paragraph" w:customStyle="1" w:styleId="1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31FEB-DB2E-4547-AC37-D6C123BC559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1547</Words>
  <Characters>1592</Characters>
  <Lines>10</Lines>
  <Paragraphs>3</Paragraphs>
  <TotalTime>0</TotalTime>
  <ScaleCrop>false</ScaleCrop>
  <LinksUpToDate>false</LinksUpToDate>
  <CharactersWithSpaces>1592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2018-11-02T06:29:00Z</dcterms:created>
  <dc:creator>admin</dc:creator>
  <cp:lastModifiedBy>郭慧玲</cp:lastModifiedBy>
  <cp:lastPrinted>2024-06-21T02:58:00Z</cp:lastPrinted>
  <dcterms:modified xsi:type="dcterms:W3CDTF">2026-07-08T08:54:03Z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28040272914B44C393D9EB42E287B782</vt:lpwstr>
  </property>
  <property fmtid="{D5CDD505-2E9C-101B-9397-08002B2CF9AE}" pid="4" name="KSOTemplateDocerSaveRecord">
    <vt:lpwstr>eyJoZGlkIjoiYjRmNjdhNzNlM2EzMDg4MTk0YWNiZTQwODNjYTI3MjkiLCJ1c2VySWQiOiIxNjQ1NTY5NDQzIn0=</vt:lpwstr>
  </property>
</Properties>
</file>