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wordWrap/>
        <w:autoSpaceDE w:val="0"/>
        <w:autoSpaceDN w:val="0"/>
        <w:adjustRightInd w:val="0"/>
        <w:snapToGrid/>
        <w:spacing w:line="530" w:lineRule="exact"/>
        <w:jc w:val="left"/>
        <w:textAlignment w:val="auto"/>
        <w:rPr>
          <w:rFonts w:hint="eastAsia" w:ascii="Times New Roman" w:hAnsi="Times New Roman" w:cs="宋体"/>
          <w:caps w:val="0"/>
          <w:color w:val="000000"/>
          <w:kern w:val="0"/>
          <w:sz w:val="24"/>
        </w:rPr>
      </w:pPr>
    </w:p>
    <w:p>
      <w:pPr>
        <w:widowControl w:val="0"/>
        <w:wordWrap/>
        <w:autoSpaceDE w:val="0"/>
        <w:autoSpaceDN w:val="0"/>
        <w:adjustRightInd w:val="0"/>
        <w:snapToGrid/>
        <w:spacing w:line="530" w:lineRule="exact"/>
        <w:jc w:val="left"/>
        <w:textAlignment w:val="auto"/>
        <w:rPr>
          <w:rFonts w:hint="eastAsia" w:ascii="Times New Roman" w:hAnsi="Times New Roman" w:cs="宋体"/>
          <w:caps w:val="0"/>
          <w:color w:val="000000"/>
          <w:kern w:val="0"/>
          <w:sz w:val="24"/>
        </w:rPr>
      </w:pPr>
    </w:p>
    <w:p>
      <w:pPr>
        <w:widowControl w:val="0"/>
        <w:wordWrap/>
        <w:autoSpaceDE w:val="0"/>
        <w:autoSpaceDN w:val="0"/>
        <w:adjustRightInd w:val="0"/>
        <w:snapToGrid/>
        <w:spacing w:line="530" w:lineRule="exact"/>
        <w:jc w:val="left"/>
        <w:textAlignment w:val="auto"/>
        <w:rPr>
          <w:rFonts w:hint="eastAsia" w:ascii="Times New Roman" w:hAnsi="Times New Roman" w:cs="宋体"/>
          <w:caps w:val="0"/>
          <w:color w:val="000000"/>
          <w:kern w:val="0"/>
          <w:sz w:val="24"/>
        </w:rPr>
      </w:pPr>
    </w:p>
    <w:p>
      <w:pPr>
        <w:widowControl w:val="0"/>
        <w:wordWrap/>
        <w:autoSpaceDE w:val="0"/>
        <w:autoSpaceDN w:val="0"/>
        <w:adjustRightInd w:val="0"/>
        <w:snapToGrid/>
        <w:spacing w:line="530" w:lineRule="exact"/>
        <w:jc w:val="left"/>
        <w:textAlignment w:val="auto"/>
        <w:rPr>
          <w:rFonts w:hint="eastAsia" w:ascii="Times New Roman" w:hAnsi="Times New Roman" w:cs="宋体"/>
          <w:caps w:val="0"/>
          <w:color w:val="000000"/>
          <w:kern w:val="0"/>
          <w:sz w:val="24"/>
        </w:rPr>
      </w:pPr>
    </w:p>
    <w:p>
      <w:pPr>
        <w:widowControl w:val="0"/>
        <w:wordWrap/>
        <w:autoSpaceDE w:val="0"/>
        <w:autoSpaceDN w:val="0"/>
        <w:adjustRightInd w:val="0"/>
        <w:snapToGrid/>
        <w:spacing w:line="530" w:lineRule="exact"/>
        <w:jc w:val="left"/>
        <w:textAlignment w:val="auto"/>
        <w:rPr>
          <w:rFonts w:hint="eastAsia" w:ascii="Times New Roman" w:hAnsi="Times New Roman" w:cs="宋体"/>
          <w:caps w:val="0"/>
          <w:color w:val="000000"/>
          <w:kern w:val="0"/>
          <w:sz w:val="24"/>
        </w:rPr>
      </w:pPr>
    </w:p>
    <w:p>
      <w:pPr>
        <w:widowControl w:val="0"/>
        <w:wordWrap/>
        <w:autoSpaceDE w:val="0"/>
        <w:autoSpaceDN w:val="0"/>
        <w:adjustRightInd w:val="0"/>
        <w:snapToGrid/>
        <w:spacing w:line="530" w:lineRule="exact"/>
        <w:jc w:val="left"/>
        <w:textAlignment w:val="auto"/>
        <w:rPr>
          <w:rFonts w:hint="eastAsia" w:ascii="Times New Roman" w:hAnsi="Times New Roman" w:cs="宋体"/>
          <w:caps w:val="0"/>
          <w:color w:val="000000"/>
          <w:kern w:val="0"/>
          <w:sz w:val="24"/>
        </w:rPr>
      </w:pPr>
    </w:p>
    <w:p>
      <w:pPr>
        <w:widowControl w:val="0"/>
        <w:wordWrap/>
        <w:autoSpaceDE w:val="0"/>
        <w:autoSpaceDN w:val="0"/>
        <w:adjustRightInd w:val="0"/>
        <w:snapToGrid/>
        <w:spacing w:line="530" w:lineRule="exact"/>
        <w:jc w:val="left"/>
        <w:textAlignment w:val="auto"/>
        <w:rPr>
          <w:rFonts w:hint="eastAsia" w:ascii="Times New Roman" w:hAnsi="Times New Roman" w:cs="宋体"/>
          <w:caps w:val="0"/>
          <w:color w:val="000000"/>
          <w:kern w:val="0"/>
          <w:sz w:val="24"/>
        </w:rPr>
      </w:pPr>
    </w:p>
    <w:p>
      <w:pPr>
        <w:widowControl w:val="0"/>
        <w:wordWrap/>
        <w:autoSpaceDE w:val="0"/>
        <w:autoSpaceDN w:val="0"/>
        <w:adjustRightInd w:val="0"/>
        <w:snapToGrid/>
        <w:spacing w:line="530" w:lineRule="exact"/>
        <w:jc w:val="left"/>
        <w:textAlignment w:val="auto"/>
        <w:rPr>
          <w:rFonts w:hint="eastAsia" w:ascii="Times New Roman" w:hAnsi="Times New Roman" w:cs="宋体"/>
          <w:caps w:val="0"/>
          <w:color w:val="000000"/>
          <w:kern w:val="0"/>
          <w:sz w:val="24"/>
        </w:rPr>
      </w:pPr>
    </w:p>
    <w:p>
      <w:pPr>
        <w:autoSpaceDE w:val="0"/>
        <w:autoSpaceDN w:val="0"/>
        <w:adjustRightInd w:val="0"/>
        <w:jc w:val="center"/>
        <w:rPr>
          <w:rFonts w:hint="eastAsia" w:ascii="Times New Roman" w:hAnsi="Times New Roman" w:eastAsia="仿宋_GB2312" w:cs="仿宋_GB2312"/>
          <w:caps w:val="0"/>
          <w:color w:val="000000"/>
          <w:kern w:val="0"/>
          <w:sz w:val="32"/>
          <w:szCs w:val="32"/>
        </w:rPr>
      </w:pPr>
      <w:r>
        <w:rPr>
          <w:rFonts w:hint="eastAsia" w:ascii="Times New Roman" w:hAnsi="Times New Roman" w:eastAsia="仿宋_GB2312" w:cs="仿宋_GB2312"/>
          <w:caps w:val="0"/>
          <w:color w:val="000000"/>
          <w:kern w:val="0"/>
          <w:sz w:val="32"/>
          <w:szCs w:val="32"/>
        </w:rPr>
        <w:t>花府</w:t>
      </w:r>
      <w:r>
        <w:rPr>
          <w:rFonts w:hint="default" w:ascii="Times New Roman" w:hAnsi="Times New Roman" w:eastAsia="仿宋_GB2312" w:cs="Times New Roman"/>
          <w:caps w:val="0"/>
          <w:color w:val="000000"/>
          <w:kern w:val="0"/>
          <w:sz w:val="32"/>
          <w:szCs w:val="32"/>
        </w:rPr>
        <w:t>〔2021〕13</w:t>
      </w:r>
      <w:r>
        <w:rPr>
          <w:rFonts w:hint="eastAsia" w:ascii="Times New Roman" w:hAnsi="Times New Roman" w:eastAsia="仿宋_GB2312" w:cs="仿宋_GB2312"/>
          <w:caps w:val="0"/>
          <w:color w:val="000000"/>
          <w:kern w:val="0"/>
          <w:sz w:val="32"/>
          <w:szCs w:val="32"/>
        </w:rPr>
        <w:t>号</w:t>
      </w:r>
    </w:p>
    <w:p>
      <w:pPr>
        <w:autoSpaceDE w:val="0"/>
        <w:autoSpaceDN w:val="0"/>
        <w:adjustRightInd w:val="0"/>
        <w:jc w:val="left"/>
        <w:rPr>
          <w:rFonts w:hint="eastAsia" w:ascii="Times New Roman" w:hAnsi="Times New Roman" w:cs="宋体"/>
          <w:caps w:val="0"/>
          <w:color w:val="000000"/>
          <w:kern w:val="0"/>
          <w:sz w:val="24"/>
        </w:rPr>
      </w:pPr>
    </w:p>
    <w:p>
      <w:pPr>
        <w:autoSpaceDE w:val="0"/>
        <w:autoSpaceDN w:val="0"/>
        <w:adjustRightInd w:val="0"/>
        <w:jc w:val="left"/>
        <w:rPr>
          <w:rFonts w:hint="eastAsia" w:ascii="Times New Roman" w:hAnsi="Times New Roman" w:cs="宋体"/>
          <w:caps w:val="0"/>
          <w:color w:val="000000"/>
          <w:kern w:val="0"/>
          <w:sz w:val="24"/>
        </w:rPr>
      </w:pPr>
    </w:p>
    <w:p>
      <w:pPr>
        <w:widowControl/>
        <w:pBdr>
          <w:top w:val="none" w:color="auto" w:sz="0" w:space="1"/>
          <w:left w:val="none" w:color="auto" w:sz="0" w:space="4"/>
          <w:bottom w:val="none" w:color="auto" w:sz="0" w:space="1"/>
          <w:right w:val="none" w:color="auto" w:sz="0" w:space="4"/>
        </w:pBdr>
        <w:wordWrap/>
        <w:adjustRightInd w:val="0"/>
        <w:snapToGrid/>
        <w:spacing w:line="560" w:lineRule="exact"/>
        <w:ind w:left="0" w:leftChars="0" w:right="0" w:firstLine="482" w:firstLineChars="0"/>
        <w:jc w:val="center"/>
        <w:textAlignment w:val="auto"/>
        <w:outlineLvl w:val="9"/>
        <w:rPr>
          <w:rFonts w:hint="eastAsia" w:ascii="Times New Roman" w:hAnsi="Times New Roman" w:eastAsia="方正小标宋_GBK" w:cs="方正小标宋_GBK"/>
          <w:caps w:val="0"/>
          <w:color w:val="000000"/>
          <w:sz w:val="44"/>
          <w:szCs w:val="44"/>
        </w:rPr>
      </w:pPr>
      <w:r>
        <w:rPr>
          <w:rFonts w:hint="eastAsia" w:ascii="Times New Roman" w:hAnsi="Times New Roman" w:eastAsia="方正小标宋_GBK" w:cs="方正小标宋_GBK"/>
          <w:caps w:val="0"/>
          <w:color w:val="000000"/>
          <w:sz w:val="44"/>
          <w:szCs w:val="44"/>
        </w:rPr>
        <w:t>广州市花都区人民政府关于印发花都区</w:t>
      </w:r>
    </w:p>
    <w:p>
      <w:pPr>
        <w:widowControl/>
        <w:pBdr>
          <w:top w:val="none" w:color="auto" w:sz="0" w:space="1"/>
          <w:left w:val="none" w:color="auto" w:sz="0" w:space="4"/>
          <w:bottom w:val="none" w:color="auto" w:sz="0" w:space="1"/>
          <w:right w:val="none" w:color="auto" w:sz="0" w:space="4"/>
        </w:pBdr>
        <w:wordWrap/>
        <w:adjustRightInd w:val="0"/>
        <w:snapToGrid/>
        <w:spacing w:line="560" w:lineRule="exact"/>
        <w:ind w:left="0" w:leftChars="0" w:right="0" w:firstLine="482" w:firstLineChars="0"/>
        <w:jc w:val="center"/>
        <w:textAlignment w:val="auto"/>
        <w:outlineLvl w:val="9"/>
        <w:rPr>
          <w:rFonts w:hint="eastAsia" w:ascii="Times New Roman" w:hAnsi="Times New Roman" w:eastAsia="方正小标宋_GBK" w:cs="方正小标宋_GBK"/>
          <w:caps w:val="0"/>
          <w:color w:val="000000"/>
          <w:sz w:val="44"/>
          <w:szCs w:val="44"/>
        </w:rPr>
      </w:pPr>
      <w:r>
        <w:rPr>
          <w:rFonts w:hint="eastAsia" w:ascii="Times New Roman" w:hAnsi="Times New Roman" w:eastAsia="方正小标宋_GBK" w:cs="方正小标宋_GBK"/>
          <w:caps w:val="0"/>
          <w:color w:val="000000"/>
          <w:sz w:val="44"/>
          <w:szCs w:val="44"/>
        </w:rPr>
        <w:t>生态环境保护规划（</w:t>
      </w:r>
      <w:r>
        <w:rPr>
          <w:rFonts w:hint="default" w:ascii="Times New Roman" w:hAnsi="Times New Roman" w:eastAsia="方正小标宋_GBK" w:cs="Times New Roman"/>
          <w:caps w:val="0"/>
          <w:color w:val="000000"/>
          <w:sz w:val="44"/>
          <w:szCs w:val="44"/>
        </w:rPr>
        <w:t>2021</w:t>
      </w:r>
      <w:r>
        <w:rPr>
          <w:rFonts w:hint="eastAsia" w:ascii="Times New Roman" w:hAnsi="Times New Roman" w:eastAsia="方正小标宋_GBK" w:cs="方正小标宋_GBK"/>
          <w:caps w:val="0"/>
          <w:color w:val="000000"/>
          <w:sz w:val="44"/>
          <w:szCs w:val="44"/>
          <w:lang w:eastAsia="zh-CN"/>
        </w:rPr>
        <w:t>—</w:t>
      </w:r>
      <w:r>
        <w:rPr>
          <w:rFonts w:hint="default" w:ascii="Times New Roman" w:hAnsi="Times New Roman" w:eastAsia="方正小标宋_GBK" w:cs="Times New Roman"/>
          <w:caps w:val="0"/>
          <w:color w:val="000000"/>
          <w:sz w:val="44"/>
          <w:szCs w:val="44"/>
        </w:rPr>
        <w:t>2030</w:t>
      </w:r>
      <w:r>
        <w:rPr>
          <w:rFonts w:hint="eastAsia" w:ascii="Times New Roman" w:hAnsi="Times New Roman" w:eastAsia="方正小标宋_GBK" w:cs="方正小标宋_GBK"/>
          <w:caps w:val="0"/>
          <w:color w:val="000000"/>
          <w:sz w:val="44"/>
          <w:szCs w:val="44"/>
        </w:rPr>
        <w:t>年）的通知</w:t>
      </w:r>
    </w:p>
    <w:p>
      <w:pPr>
        <w:widowControl w:val="0"/>
        <w:pBdr>
          <w:top w:val="none" w:color="auto" w:sz="0" w:space="1"/>
          <w:left w:val="none" w:color="auto" w:sz="0" w:space="4"/>
          <w:bottom w:val="none" w:color="auto" w:sz="0" w:space="1"/>
          <w:right w:val="none" w:color="auto" w:sz="0" w:space="4"/>
        </w:pBdr>
        <w:wordWrap/>
        <w:snapToGrid/>
        <w:spacing w:line="240" w:lineRule="auto"/>
        <w:jc w:val="left"/>
        <w:textAlignment w:val="auto"/>
        <w:rPr>
          <w:rFonts w:ascii="Times New Roman" w:hAnsi="Times New Roman" w:eastAsia="仿宋_GB2312"/>
          <w:caps w:val="0"/>
          <w:sz w:val="28"/>
        </w:rPr>
      </w:pPr>
    </w:p>
    <w:p>
      <w:pPr>
        <w:widowControl w:val="0"/>
        <w:wordWrap/>
        <w:snapToGrid/>
        <w:spacing w:line="240" w:lineRule="auto"/>
        <w:textAlignment w:val="auto"/>
        <w:rPr>
          <w:rFonts w:ascii="Times New Roman" w:hAnsi="Times New Roman" w:eastAsia="仿宋_GB2312"/>
          <w:caps w:val="0"/>
          <w:sz w:val="32"/>
          <w:szCs w:val="32"/>
        </w:rPr>
      </w:pPr>
      <w:r>
        <w:rPr>
          <w:rFonts w:ascii="Times New Roman" w:hAnsi="Times New Roman" w:eastAsia="仿宋_GB2312" w:cs="Times New Roman"/>
          <w:caps w:val="0"/>
          <w:color w:val="000000"/>
          <w:sz w:val="32"/>
          <w:szCs w:val="32"/>
        </w:rPr>
        <w:t>各</w:t>
      </w:r>
      <w:r>
        <w:rPr>
          <w:rFonts w:hint="eastAsia" w:ascii="Times New Roman" w:hAnsi="Times New Roman" w:eastAsia="仿宋_GB2312" w:cs="Times New Roman"/>
          <w:caps w:val="0"/>
          <w:color w:val="000000"/>
          <w:sz w:val="32"/>
          <w:szCs w:val="32"/>
        </w:rPr>
        <w:t>镇（</w:t>
      </w:r>
      <w:r>
        <w:rPr>
          <w:rFonts w:ascii="Times New Roman" w:hAnsi="Times New Roman" w:eastAsia="仿宋_GB2312" w:cs="Times New Roman"/>
          <w:caps w:val="0"/>
          <w:color w:val="000000"/>
          <w:sz w:val="32"/>
          <w:szCs w:val="32"/>
        </w:rPr>
        <w:t>街</w:t>
      </w:r>
      <w:r>
        <w:rPr>
          <w:rFonts w:hint="eastAsia" w:ascii="Times New Roman" w:hAnsi="Times New Roman" w:eastAsia="仿宋_GB2312" w:cs="Times New Roman"/>
          <w:caps w:val="0"/>
          <w:color w:val="000000"/>
          <w:sz w:val="32"/>
          <w:szCs w:val="32"/>
        </w:rPr>
        <w:t>）政府（</w:t>
      </w:r>
      <w:r>
        <w:rPr>
          <w:rFonts w:ascii="Times New Roman" w:hAnsi="Times New Roman" w:eastAsia="仿宋_GB2312" w:cs="Times New Roman"/>
          <w:caps w:val="0"/>
          <w:color w:val="000000"/>
          <w:sz w:val="32"/>
          <w:szCs w:val="32"/>
        </w:rPr>
        <w:t>办事处</w:t>
      </w:r>
      <w:r>
        <w:rPr>
          <w:rFonts w:hint="eastAsia" w:ascii="Times New Roman" w:hAnsi="Times New Roman" w:eastAsia="仿宋_GB2312" w:cs="Times New Roman"/>
          <w:caps w:val="0"/>
          <w:color w:val="000000"/>
          <w:sz w:val="32"/>
          <w:szCs w:val="32"/>
        </w:rPr>
        <w:t>），</w:t>
      </w:r>
      <w:r>
        <w:rPr>
          <w:rFonts w:ascii="Times New Roman" w:hAnsi="Times New Roman" w:eastAsia="仿宋_GB2312" w:cs="Times New Roman"/>
          <w:caps w:val="0"/>
          <w:color w:val="000000"/>
          <w:sz w:val="32"/>
          <w:szCs w:val="32"/>
        </w:rPr>
        <w:t>区府直属各单位：</w:t>
      </w:r>
    </w:p>
    <w:p>
      <w:pPr>
        <w:widowControl w:val="0"/>
        <w:wordWrap/>
        <w:adjustRightInd/>
        <w:snapToGrid/>
        <w:spacing w:line="520" w:lineRule="exact"/>
        <w:ind w:firstLine="632" w:firstLineChars="200"/>
        <w:jc w:val="both"/>
        <w:textAlignment w:val="auto"/>
        <w:rPr>
          <w:rFonts w:hint="default" w:ascii="Times New Roman" w:hAnsi="Times New Roman" w:eastAsia="仿宋_GB2312" w:cs="Times New Roman"/>
          <w:b w:val="0"/>
          <w:bCs/>
          <w:sz w:val="32"/>
          <w:szCs w:val="32"/>
          <w:lang w:eastAsia="zh-CN"/>
        </w:rPr>
      </w:pPr>
      <w:r>
        <w:rPr>
          <w:rFonts w:ascii="Times New Roman" w:hAnsi="Times New Roman" w:eastAsia="仿宋_GB2312"/>
          <w:caps w:val="0"/>
          <w:sz w:val="32"/>
          <w:szCs w:val="32"/>
        </w:rPr>
        <w:t>《</w:t>
      </w:r>
      <w:r>
        <w:rPr>
          <w:rFonts w:hint="eastAsia" w:ascii="Times New Roman" w:hAnsi="Times New Roman" w:eastAsia="仿宋_GB2312"/>
          <w:caps w:val="0"/>
          <w:sz w:val="32"/>
          <w:szCs w:val="32"/>
        </w:rPr>
        <w:t>花都区生态环境保护规划（2</w:t>
      </w:r>
      <w:r>
        <w:rPr>
          <w:rFonts w:ascii="Times New Roman" w:hAnsi="Times New Roman" w:eastAsia="仿宋_GB2312"/>
          <w:caps w:val="0"/>
          <w:sz w:val="32"/>
          <w:szCs w:val="32"/>
        </w:rPr>
        <w:t>021</w:t>
      </w:r>
      <w:r>
        <w:rPr>
          <w:rFonts w:hint="eastAsia" w:eastAsia="仿宋_GB2312"/>
          <w:caps w:val="0"/>
          <w:sz w:val="32"/>
          <w:szCs w:val="32"/>
          <w:lang w:eastAsia="zh-CN"/>
        </w:rPr>
        <w:t>—</w:t>
      </w:r>
      <w:r>
        <w:rPr>
          <w:rFonts w:ascii="Times New Roman" w:hAnsi="Times New Roman" w:eastAsia="仿宋_GB2312"/>
          <w:caps w:val="0"/>
          <w:sz w:val="32"/>
          <w:szCs w:val="32"/>
        </w:rPr>
        <w:t>2030</w:t>
      </w:r>
      <w:r>
        <w:rPr>
          <w:rFonts w:hint="eastAsia" w:ascii="Times New Roman" w:hAnsi="Times New Roman" w:eastAsia="仿宋_GB2312"/>
          <w:caps w:val="0"/>
          <w:sz w:val="32"/>
          <w:szCs w:val="32"/>
        </w:rPr>
        <w:t>年）</w:t>
      </w:r>
      <w:r>
        <w:rPr>
          <w:rFonts w:ascii="Times New Roman" w:hAnsi="Times New Roman" w:eastAsia="仿宋_GB2312"/>
          <w:caps w:val="0"/>
          <w:sz w:val="32"/>
          <w:szCs w:val="32"/>
        </w:rPr>
        <w:t>》</w:t>
      </w:r>
      <w:r>
        <w:rPr>
          <w:rFonts w:ascii="Times New Roman" w:hAnsi="Times New Roman" w:eastAsia="仿宋_GB2312" w:cs="Times New Roman"/>
          <w:caps w:val="0"/>
          <w:color w:val="000000"/>
          <w:sz w:val="32"/>
          <w:szCs w:val="32"/>
        </w:rPr>
        <w:t>已</w:t>
      </w:r>
      <w:r>
        <w:rPr>
          <w:rFonts w:hint="eastAsia" w:ascii="Times New Roman" w:hAnsi="Times New Roman" w:eastAsia="仿宋_GB2312" w:cs="Times New Roman"/>
          <w:caps w:val="0"/>
          <w:color w:val="000000"/>
          <w:sz w:val="32"/>
          <w:szCs w:val="32"/>
        </w:rPr>
        <w:t>经</w:t>
      </w:r>
      <w:r>
        <w:rPr>
          <w:rFonts w:hint="eastAsia" w:ascii="Times New Roman" w:hAnsi="Times New Roman" w:eastAsia="仿宋_GB2312" w:cs="Times New Roman"/>
          <w:caps w:val="0"/>
          <w:color w:val="000000"/>
          <w:sz w:val="32"/>
          <w:szCs w:val="32"/>
          <w:lang w:val="en-US" w:eastAsia="zh-CN"/>
        </w:rPr>
        <w:t>区政府同意</w:t>
      </w:r>
      <w:r>
        <w:rPr>
          <w:rFonts w:ascii="Times New Roman" w:hAnsi="Times New Roman" w:eastAsia="仿宋_GB2312" w:cs="Times New Roman"/>
          <w:caps w:val="0"/>
          <w:color w:val="000000"/>
          <w:sz w:val="32"/>
          <w:szCs w:val="32"/>
        </w:rPr>
        <w:t>。现印发给你们，请认真组织实施。</w:t>
      </w:r>
      <w:r>
        <w:rPr>
          <w:rFonts w:hint="default" w:ascii="Times New Roman" w:hAnsi="Times New Roman" w:eastAsia="仿宋_GB2312" w:cs="Times New Roman"/>
          <w:b w:val="0"/>
          <w:bCs w:val="0"/>
          <w:sz w:val="32"/>
          <w:szCs w:val="32"/>
          <w:lang w:eastAsia="zh-CN"/>
        </w:rPr>
        <w:t>实施过程中遇到的问题</w:t>
      </w:r>
      <w:r>
        <w:rPr>
          <w:rFonts w:hint="default" w:ascii="Times New Roman" w:hAnsi="Times New Roman" w:eastAsia="仿宋_GB2312" w:cs="Times New Roman"/>
          <w:b w:val="0"/>
          <w:bCs w:val="0"/>
          <w:sz w:val="32"/>
          <w:szCs w:val="32"/>
          <w:lang w:val="en-US" w:eastAsia="zh-CN"/>
        </w:rPr>
        <w:t>，请</w:t>
      </w:r>
      <w:r>
        <w:rPr>
          <w:rFonts w:hint="eastAsia" w:ascii="Times New Roman" w:hAnsi="Times New Roman" w:eastAsia="仿宋_GB2312" w:cs="Times New Roman"/>
          <w:b w:val="0"/>
          <w:bCs w:val="0"/>
          <w:sz w:val="32"/>
          <w:szCs w:val="32"/>
          <w:lang w:val="en-US" w:eastAsia="zh-CN"/>
        </w:rPr>
        <w:t>径</w:t>
      </w:r>
      <w:r>
        <w:rPr>
          <w:rFonts w:hint="default" w:ascii="Times New Roman" w:hAnsi="Times New Roman" w:eastAsia="仿宋_GB2312" w:cs="Times New Roman"/>
          <w:b w:val="0"/>
          <w:bCs w:val="0"/>
          <w:sz w:val="32"/>
          <w:szCs w:val="32"/>
          <w:lang w:val="en-US" w:eastAsia="zh-CN"/>
        </w:rPr>
        <w:t>向</w:t>
      </w:r>
      <w:r>
        <w:rPr>
          <w:rFonts w:hint="eastAsia" w:ascii="Times New Roman" w:hAnsi="Times New Roman" w:cs="Times New Roman"/>
          <w:b w:val="0"/>
          <w:bCs w:val="0"/>
          <w:sz w:val="32"/>
          <w:szCs w:val="32"/>
          <w:lang w:val="en-US" w:eastAsia="zh-CN"/>
        </w:rPr>
        <w:t>市生态环境局花都分局</w:t>
      </w:r>
      <w:r>
        <w:rPr>
          <w:rFonts w:hint="default" w:ascii="Times New Roman" w:hAnsi="Times New Roman" w:eastAsia="仿宋_GB2312" w:cs="Times New Roman"/>
          <w:b w:val="0"/>
          <w:bCs w:val="0"/>
          <w:sz w:val="32"/>
          <w:szCs w:val="32"/>
          <w:lang w:val="en-US" w:eastAsia="zh-CN"/>
        </w:rPr>
        <w:t>反映。</w:t>
      </w:r>
    </w:p>
    <w:p>
      <w:pPr>
        <w:widowControl w:val="0"/>
        <w:wordWrap/>
        <w:snapToGrid/>
        <w:spacing w:line="240" w:lineRule="auto"/>
        <w:ind w:firstLine="632" w:firstLineChars="200"/>
        <w:textAlignment w:val="auto"/>
        <w:rPr>
          <w:rFonts w:hint="default" w:ascii="Times New Roman" w:hAnsi="Times New Roman" w:eastAsia="仿宋_GB2312" w:cs="Times New Roman"/>
          <w:caps w:val="0"/>
          <w:color w:val="000000"/>
          <w:sz w:val="32"/>
          <w:szCs w:val="32"/>
          <w:lang w:val="en-US" w:eastAsia="zh-CN"/>
        </w:rPr>
      </w:pPr>
    </w:p>
    <w:p>
      <w:pPr>
        <w:widowControl w:val="0"/>
        <w:wordWrap/>
        <w:autoSpaceDE w:val="0"/>
        <w:autoSpaceDN w:val="0"/>
        <w:adjustRightInd w:val="0"/>
        <w:snapToGrid/>
        <w:spacing w:line="240" w:lineRule="auto"/>
        <w:jc w:val="left"/>
        <w:textAlignment w:val="auto"/>
        <w:rPr>
          <w:rFonts w:ascii="Times New Roman" w:hAnsi="Times New Roman" w:cs="宋体"/>
          <w:caps w:val="0"/>
          <w:color w:val="000000"/>
          <w:kern w:val="0"/>
          <w:sz w:val="32"/>
          <w:szCs w:val="32"/>
        </w:rPr>
      </w:pPr>
    </w:p>
    <w:p>
      <w:pPr>
        <w:widowControl w:val="0"/>
        <w:wordWrap/>
        <w:autoSpaceDE w:val="0"/>
        <w:autoSpaceDN w:val="0"/>
        <w:adjustRightInd w:val="0"/>
        <w:snapToGrid/>
        <w:spacing w:line="240" w:lineRule="auto"/>
        <w:jc w:val="left"/>
        <w:textAlignment w:val="auto"/>
        <w:rPr>
          <w:rFonts w:ascii="Times New Roman" w:hAnsi="Times New Roman" w:cs="宋体"/>
          <w:caps w:val="0"/>
          <w:color w:val="000000"/>
          <w:kern w:val="0"/>
          <w:sz w:val="32"/>
          <w:szCs w:val="32"/>
        </w:rPr>
      </w:pPr>
    </w:p>
    <w:p>
      <w:pPr>
        <w:widowControl w:val="0"/>
        <w:pBdr>
          <w:top w:val="none" w:color="auto" w:sz="0" w:space="1"/>
          <w:left w:val="none" w:color="auto" w:sz="0" w:space="4"/>
          <w:bottom w:val="none" w:color="auto" w:sz="0" w:space="1"/>
          <w:right w:val="none" w:color="auto" w:sz="0" w:space="4"/>
        </w:pBdr>
        <w:wordWrap/>
        <w:adjustRightInd/>
        <w:snapToGrid/>
        <w:spacing w:line="240" w:lineRule="auto"/>
        <w:ind w:right="1027" w:rightChars="325" w:firstLine="0" w:firstLineChars="0"/>
        <w:jc w:val="right"/>
        <w:textAlignment w:val="auto"/>
        <w:rPr>
          <w:rFonts w:ascii="Times New Roman" w:hAnsi="Times New Roman" w:eastAsia="仿宋_GB2312"/>
          <w:caps w:val="0"/>
          <w:sz w:val="32"/>
          <w:szCs w:val="32"/>
        </w:rPr>
      </w:pPr>
      <w:r>
        <w:rPr>
          <w:rFonts w:ascii="Times New Roman" w:hAnsi="Times New Roman" w:eastAsia="仿宋_GB2312"/>
          <w:caps w:val="0"/>
          <w:sz w:val="32"/>
          <w:szCs w:val="32"/>
        </w:rPr>
        <w:t>广州市花都区人民政府</w:t>
      </w:r>
    </w:p>
    <w:p>
      <w:pPr>
        <w:widowControl w:val="0"/>
        <w:pBdr>
          <w:top w:val="none" w:color="auto" w:sz="0" w:space="1"/>
          <w:left w:val="none" w:color="auto" w:sz="0" w:space="4"/>
          <w:bottom w:val="none" w:color="auto" w:sz="0" w:space="1"/>
          <w:right w:val="none" w:color="auto" w:sz="0" w:space="4"/>
        </w:pBdr>
        <w:wordWrap/>
        <w:adjustRightInd/>
        <w:snapToGrid/>
        <w:spacing w:line="240" w:lineRule="auto"/>
        <w:ind w:right="1264" w:rightChars="400" w:firstLine="0"/>
        <w:jc w:val="right"/>
        <w:textAlignment w:val="auto"/>
        <w:rPr>
          <w:rFonts w:ascii="Times New Roman" w:hAnsi="Times New Roman"/>
          <w:b/>
          <w:caps w:val="0"/>
          <w:sz w:val="28"/>
          <w:szCs w:val="28"/>
        </w:rPr>
      </w:pPr>
      <w:r>
        <w:rPr>
          <w:rFonts w:ascii="Times New Roman" w:hAnsi="Times New Roman" w:eastAsia="仿宋_GB2312"/>
          <w:caps w:val="0"/>
          <w:sz w:val="32"/>
          <w:szCs w:val="32"/>
        </w:rPr>
        <w:t>20</w:t>
      </w:r>
      <w:r>
        <w:rPr>
          <w:rFonts w:hint="eastAsia" w:ascii="Times New Roman" w:hAnsi="Times New Roman" w:eastAsia="仿宋_GB2312"/>
          <w:caps w:val="0"/>
          <w:sz w:val="32"/>
          <w:szCs w:val="32"/>
        </w:rPr>
        <w:t>21</w:t>
      </w:r>
      <w:r>
        <w:rPr>
          <w:rFonts w:ascii="Times New Roman" w:hAnsi="Times New Roman" w:eastAsia="仿宋_GB2312"/>
          <w:caps w:val="0"/>
          <w:sz w:val="32"/>
          <w:szCs w:val="32"/>
        </w:rPr>
        <w:t>年</w:t>
      </w:r>
      <w:r>
        <w:rPr>
          <w:rFonts w:hint="eastAsia" w:ascii="Times New Roman" w:hAnsi="Times New Roman" w:eastAsia="仿宋_GB2312"/>
          <w:caps w:val="0"/>
          <w:sz w:val="32"/>
          <w:szCs w:val="32"/>
        </w:rPr>
        <w:t>12</w:t>
      </w:r>
      <w:r>
        <w:rPr>
          <w:rFonts w:ascii="Times New Roman" w:hAnsi="Times New Roman" w:eastAsia="仿宋_GB2312"/>
          <w:caps w:val="0"/>
          <w:sz w:val="32"/>
          <w:szCs w:val="32"/>
        </w:rPr>
        <w:t>月</w:t>
      </w:r>
      <w:r>
        <w:rPr>
          <w:rFonts w:hint="eastAsia"/>
          <w:caps w:val="0"/>
          <w:sz w:val="32"/>
          <w:szCs w:val="32"/>
          <w:lang w:val="en-US" w:eastAsia="zh-CN"/>
        </w:rPr>
        <w:t>30</w:t>
      </w:r>
      <w:r>
        <w:rPr>
          <w:rFonts w:ascii="Times New Roman" w:hAnsi="Times New Roman" w:eastAsia="仿宋_GB2312"/>
          <w:caps w:val="0"/>
          <w:sz w:val="32"/>
          <w:szCs w:val="32"/>
        </w:rPr>
        <w:t>日</w:t>
      </w:r>
    </w:p>
    <w:p>
      <w:pPr>
        <w:jc w:val="center"/>
        <w:rPr>
          <w:rFonts w:ascii="Times New Roman" w:hAnsi="Times New Roman"/>
        </w:rPr>
        <w:sectPr>
          <w:footerReference r:id="rId3" w:type="default"/>
          <w:footerReference r:id="rId4" w:type="even"/>
          <w:pgSz w:w="11906" w:h="16838"/>
          <w:pgMar w:top="2098" w:right="1474" w:bottom="1984" w:left="1587" w:header="851" w:footer="1531" w:gutter="0"/>
          <w:pgNumType w:fmt="decimal" w:start="1"/>
          <w:cols w:space="720" w:num="1"/>
          <w:rtlGutter w:val="0"/>
          <w:docGrid w:type="linesAndChars" w:linePitch="579" w:charSpace="-842"/>
        </w:sectPr>
      </w:pPr>
    </w:p>
    <w:p>
      <w:pPr>
        <w:widowControl w:val="0"/>
        <w:wordWrap/>
        <w:adjustRightInd/>
        <w:snapToGrid/>
        <w:spacing w:line="580" w:lineRule="exact"/>
        <w:jc w:val="center"/>
        <w:textAlignment w:val="auto"/>
        <w:rPr>
          <w:rFonts w:ascii="Times New Roman" w:hAnsi="Times New Roman"/>
          <w:b/>
          <w:caps w:val="0"/>
          <w:sz w:val="44"/>
          <w:szCs w:val="44"/>
        </w:rPr>
      </w:pPr>
      <w:r>
        <w:rPr>
          <w:rFonts w:hint="eastAsia" w:ascii="Times New Roman" w:hAnsi="Times New Roman" w:eastAsia="方正小标宋_GBK" w:cs="方正小标宋_GBK"/>
          <w:b w:val="0"/>
          <w:bCs/>
          <w:caps w:val="0"/>
          <w:sz w:val="44"/>
          <w:szCs w:val="44"/>
        </w:rPr>
        <w:t>花都区生态环境保护规划</w:t>
      </w:r>
    </w:p>
    <w:p>
      <w:pPr>
        <w:widowControl w:val="0"/>
        <w:wordWrap/>
        <w:adjustRightInd/>
        <w:snapToGrid/>
        <w:spacing w:line="580" w:lineRule="exact"/>
        <w:jc w:val="center"/>
        <w:textAlignment w:val="auto"/>
        <w:rPr>
          <w:rFonts w:ascii="Times New Roman" w:hAnsi="Times New Roman"/>
          <w:b/>
          <w:caps w:val="0"/>
          <w:sz w:val="44"/>
          <w:szCs w:val="44"/>
        </w:rPr>
      </w:pPr>
      <w:r>
        <w:rPr>
          <w:rFonts w:hint="eastAsia" w:ascii="Times New Roman" w:hAnsi="Times New Roman" w:eastAsia="方正小标宋_GBK" w:cs="方正小标宋_GBK"/>
          <w:b w:val="0"/>
          <w:bCs/>
          <w:caps w:val="0"/>
          <w:sz w:val="44"/>
          <w:szCs w:val="44"/>
        </w:rPr>
        <w:t>（</w:t>
      </w:r>
      <w:r>
        <w:rPr>
          <w:rFonts w:hint="default" w:ascii="Times New Roman" w:hAnsi="Times New Roman" w:eastAsia="方正小标宋_GBK" w:cs="Times New Roman"/>
          <w:b w:val="0"/>
          <w:bCs/>
          <w:caps w:val="0"/>
          <w:sz w:val="44"/>
          <w:szCs w:val="44"/>
        </w:rPr>
        <w:t>2021</w:t>
      </w:r>
      <w:r>
        <w:rPr>
          <w:rFonts w:hint="eastAsia" w:eastAsia="方正小标宋_GBK" w:cs="Times New Roman"/>
          <w:b w:val="0"/>
          <w:bCs/>
          <w:caps w:val="0"/>
          <w:sz w:val="44"/>
          <w:szCs w:val="44"/>
          <w:lang w:eastAsia="zh-CN"/>
        </w:rPr>
        <w:t>—</w:t>
      </w:r>
      <w:r>
        <w:rPr>
          <w:rFonts w:hint="default" w:ascii="Times New Roman" w:hAnsi="Times New Roman" w:eastAsia="方正小标宋_GBK" w:cs="Times New Roman"/>
          <w:b w:val="0"/>
          <w:bCs/>
          <w:caps w:val="0"/>
          <w:sz w:val="44"/>
          <w:szCs w:val="44"/>
        </w:rPr>
        <w:t>2030</w:t>
      </w:r>
      <w:r>
        <w:rPr>
          <w:rFonts w:hint="eastAsia" w:ascii="Times New Roman" w:hAnsi="Times New Roman" w:eastAsia="方正小标宋_GBK" w:cs="方正小标宋_GBK"/>
          <w:b w:val="0"/>
          <w:bCs/>
          <w:caps w:val="0"/>
          <w:sz w:val="44"/>
          <w:szCs w:val="44"/>
        </w:rPr>
        <w:t>年）</w:t>
      </w:r>
    </w:p>
    <w:p>
      <w:pPr>
        <w:jc w:val="center"/>
        <w:rPr>
          <w:rFonts w:hint="eastAsia" w:ascii="Times New Roman" w:hAnsi="Times New Roman"/>
          <w:b w:val="0"/>
          <w:bCs/>
          <w:caps w:val="0"/>
          <w:sz w:val="32"/>
          <w:szCs w:val="32"/>
        </w:rPr>
      </w:pPr>
    </w:p>
    <w:p>
      <w:pPr>
        <w:widowControl w:val="0"/>
        <w:wordWrap/>
        <w:adjustRightInd w:val="0"/>
        <w:snapToGrid/>
        <w:spacing w:line="240" w:lineRule="auto"/>
        <w:jc w:val="center"/>
        <w:textAlignment w:val="auto"/>
        <w:rPr>
          <w:rFonts w:hint="eastAsia" w:ascii="Times New Roman" w:hAnsi="Times New Roman" w:eastAsia="黑体" w:cs="黑体"/>
          <w:b/>
          <w:caps w:val="0"/>
          <w:sz w:val="44"/>
          <w:szCs w:val="44"/>
        </w:rPr>
      </w:pPr>
      <w:r>
        <w:rPr>
          <w:rFonts w:hint="eastAsia" w:ascii="Times New Roman" w:hAnsi="Times New Roman" w:eastAsia="黑体" w:cs="黑体"/>
          <w:b w:val="0"/>
          <w:bCs/>
          <w:caps w:val="0"/>
          <w:sz w:val="44"/>
          <w:szCs w:val="44"/>
        </w:rPr>
        <w:t>目  录</w:t>
      </w:r>
    </w:p>
    <w:p>
      <w:pPr>
        <w:pStyle w:val="14"/>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sz w:val="24"/>
        </w:rPr>
        <w:fldChar w:fldCharType="begin"/>
      </w:r>
      <w:r>
        <w:rPr>
          <w:rFonts w:hint="default" w:ascii="Times New Roman" w:hAnsi="Times New Roman" w:cs="Times New Roman"/>
          <w:b w:val="0"/>
          <w:bCs w:val="0"/>
          <w:caps w:val="0"/>
          <w:sz w:val="24"/>
        </w:rPr>
        <w:instrText xml:space="preserve"> TOC \o "1-3" \h \z \u </w:instrText>
      </w:r>
      <w:r>
        <w:rPr>
          <w:rFonts w:hint="default" w:ascii="Times New Roman" w:hAnsi="Times New Roman" w:cs="Times New Roman"/>
          <w:b w:val="0"/>
          <w:bCs w:val="0"/>
          <w:caps w:val="0"/>
          <w:sz w:val="24"/>
        </w:rPr>
        <w:fldChar w:fldCharType="separate"/>
      </w:r>
      <w:r>
        <w:rPr>
          <w:rFonts w:hint="default" w:ascii="Times New Roman" w:hAnsi="Times New Roman" w:eastAsia="黑体" w:cs="Times New Roman"/>
          <w:b w:val="0"/>
          <w:bCs w:val="0"/>
          <w:caps w:val="0"/>
        </w:rPr>
        <w:fldChar w:fldCharType="begin"/>
      </w:r>
      <w:r>
        <w:rPr>
          <w:rFonts w:hint="default" w:ascii="Times New Roman" w:hAnsi="Times New Roman" w:eastAsia="黑体" w:cs="Times New Roman"/>
          <w:b w:val="0"/>
          <w:bCs w:val="0"/>
          <w:caps w:val="0"/>
        </w:rPr>
        <w:instrText xml:space="preserve"> HYPERLINK \l "_Toc88053782" </w:instrText>
      </w:r>
      <w:r>
        <w:rPr>
          <w:rFonts w:hint="default" w:ascii="Times New Roman" w:hAnsi="Times New Roman" w:eastAsia="黑体" w:cs="Times New Roman"/>
          <w:b w:val="0"/>
          <w:bCs w:val="0"/>
          <w:caps w:val="0"/>
        </w:rPr>
        <w:fldChar w:fldCharType="separate"/>
      </w:r>
      <w:r>
        <w:rPr>
          <w:rStyle w:val="23"/>
          <w:rFonts w:hint="default" w:ascii="Times New Roman" w:hAnsi="Times New Roman" w:eastAsia="黑体" w:cs="Times New Roman"/>
          <w:b w:val="0"/>
          <w:bCs w:val="0"/>
          <w:caps w:val="0"/>
        </w:rPr>
        <w:t>1、总则</w:t>
      </w:r>
      <w:r>
        <w:rPr>
          <w:rFonts w:hint="default" w:ascii="Times New Roman" w:hAnsi="Times New Roman" w:eastAsia="黑体" w:cs="Times New Roman"/>
          <w:b w:val="0"/>
          <w:bCs w:val="0"/>
          <w:caps w:val="0"/>
        </w:rPr>
        <w:tab/>
      </w:r>
      <w:r>
        <w:rPr>
          <w:rFonts w:hint="default" w:ascii="Times New Roman" w:hAnsi="Times New Roman" w:eastAsia="黑体" w:cs="Times New Roman"/>
          <w:b w:val="0"/>
          <w:bCs w:val="0"/>
          <w:caps w:val="0"/>
        </w:rPr>
        <w:fldChar w:fldCharType="begin"/>
      </w:r>
      <w:r>
        <w:rPr>
          <w:rFonts w:hint="default" w:ascii="Times New Roman" w:hAnsi="Times New Roman" w:eastAsia="黑体" w:cs="Times New Roman"/>
          <w:b w:val="0"/>
          <w:bCs w:val="0"/>
          <w:caps w:val="0"/>
        </w:rPr>
        <w:instrText xml:space="preserve"> PAGEREF _Toc88053782 \h </w:instrText>
      </w:r>
      <w:r>
        <w:rPr>
          <w:rFonts w:hint="default" w:ascii="Times New Roman" w:hAnsi="Times New Roman" w:eastAsia="黑体" w:cs="Times New Roman"/>
          <w:b w:val="0"/>
          <w:bCs w:val="0"/>
          <w:caps w:val="0"/>
        </w:rPr>
        <w:fldChar w:fldCharType="separate"/>
      </w:r>
      <w:r>
        <w:rPr>
          <w:rFonts w:hint="default" w:ascii="Times New Roman" w:hAnsi="Times New Roman" w:eastAsia="黑体" w:cs="Times New Roman"/>
          <w:b w:val="0"/>
          <w:bCs w:val="0"/>
          <w:caps w:val="0"/>
        </w:rPr>
        <w:t>7</w:t>
      </w:r>
      <w:r>
        <w:rPr>
          <w:rFonts w:hint="default" w:ascii="Times New Roman" w:hAnsi="Times New Roman" w:eastAsia="黑体" w:cs="Times New Roman"/>
          <w:b w:val="0"/>
          <w:bCs w:val="0"/>
          <w:caps w:val="0"/>
        </w:rPr>
        <w:fldChar w:fldCharType="end"/>
      </w:r>
      <w:r>
        <w:rPr>
          <w:rFonts w:hint="default" w:ascii="Times New Roman" w:hAnsi="Times New Roman" w:eastAsia="黑体"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楷体_GB2312" w:cs="Times New Roman"/>
          <w:b w:val="0"/>
          <w:bCs w:val="0"/>
          <w:caps w:val="0"/>
          <w:szCs w:val="22"/>
        </w:rPr>
      </w:pP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HYPERLINK \l "_Toc88053783" </w:instrText>
      </w:r>
      <w:r>
        <w:rPr>
          <w:rFonts w:hint="default" w:ascii="Times New Roman" w:hAnsi="Times New Roman" w:eastAsia="楷体_GB2312" w:cs="Times New Roman"/>
          <w:b w:val="0"/>
          <w:bCs w:val="0"/>
          <w:caps w:val="0"/>
        </w:rPr>
        <w:fldChar w:fldCharType="separate"/>
      </w:r>
      <w:r>
        <w:rPr>
          <w:rStyle w:val="23"/>
          <w:rFonts w:hint="default" w:ascii="Times New Roman" w:hAnsi="Times New Roman" w:eastAsia="楷体_GB2312" w:cs="Times New Roman"/>
          <w:b w:val="0"/>
          <w:bCs w:val="0"/>
          <w:caps w:val="0"/>
        </w:rPr>
        <w:t>1.1 规划修编的必要性</w:t>
      </w:r>
      <w:r>
        <w:rPr>
          <w:rFonts w:hint="default" w:ascii="Times New Roman" w:hAnsi="Times New Roman" w:eastAsia="楷体_GB2312" w:cs="Times New Roman"/>
          <w:b w:val="0"/>
          <w:bCs w:val="0"/>
          <w:caps w:val="0"/>
        </w:rPr>
        <w:tab/>
      </w: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PAGEREF _Toc88053783 \h </w:instrText>
      </w:r>
      <w:r>
        <w:rPr>
          <w:rFonts w:hint="default" w:ascii="Times New Roman" w:hAnsi="Times New Roman" w:eastAsia="楷体_GB2312" w:cs="Times New Roman"/>
          <w:b w:val="0"/>
          <w:bCs w:val="0"/>
          <w:caps w:val="0"/>
        </w:rPr>
        <w:fldChar w:fldCharType="separate"/>
      </w:r>
      <w:r>
        <w:rPr>
          <w:rFonts w:hint="default" w:ascii="Times New Roman" w:hAnsi="Times New Roman" w:eastAsia="楷体_GB2312" w:cs="Times New Roman"/>
          <w:b w:val="0"/>
          <w:bCs w:val="0"/>
          <w:caps w:val="0"/>
        </w:rPr>
        <w:t>7</w:t>
      </w:r>
      <w:r>
        <w:rPr>
          <w:rFonts w:hint="default" w:ascii="Times New Roman" w:hAnsi="Times New Roman" w:eastAsia="楷体_GB2312" w:cs="Times New Roman"/>
          <w:b w:val="0"/>
          <w:bCs w:val="0"/>
          <w:caps w:val="0"/>
        </w:rPr>
        <w:fldChar w:fldCharType="end"/>
      </w:r>
      <w:r>
        <w:rPr>
          <w:rFonts w:hint="default" w:ascii="Times New Roman" w:hAnsi="Times New Roman" w:eastAsia="楷体_GB2312"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楷体_GB2312" w:cs="Times New Roman"/>
          <w:b w:val="0"/>
          <w:bCs w:val="0"/>
          <w:caps w:val="0"/>
          <w:szCs w:val="22"/>
        </w:rPr>
      </w:pP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HYPERLINK \l "_Toc88053784" </w:instrText>
      </w:r>
      <w:r>
        <w:rPr>
          <w:rFonts w:hint="default" w:ascii="Times New Roman" w:hAnsi="Times New Roman" w:eastAsia="楷体_GB2312" w:cs="Times New Roman"/>
          <w:b w:val="0"/>
          <w:bCs w:val="0"/>
          <w:caps w:val="0"/>
        </w:rPr>
        <w:fldChar w:fldCharType="separate"/>
      </w:r>
      <w:r>
        <w:rPr>
          <w:rStyle w:val="23"/>
          <w:rFonts w:hint="default" w:ascii="Times New Roman" w:hAnsi="Times New Roman" w:eastAsia="楷体_GB2312" w:cs="Times New Roman"/>
          <w:b w:val="0"/>
          <w:bCs w:val="0"/>
          <w:caps w:val="0"/>
        </w:rPr>
        <w:t>1.2 指导思想</w:t>
      </w:r>
      <w:r>
        <w:rPr>
          <w:rFonts w:hint="default" w:ascii="Times New Roman" w:hAnsi="Times New Roman" w:eastAsia="楷体_GB2312" w:cs="Times New Roman"/>
          <w:b w:val="0"/>
          <w:bCs w:val="0"/>
          <w:caps w:val="0"/>
        </w:rPr>
        <w:tab/>
      </w: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PAGEREF _Toc88053784 \h </w:instrText>
      </w:r>
      <w:r>
        <w:rPr>
          <w:rFonts w:hint="default" w:ascii="Times New Roman" w:hAnsi="Times New Roman" w:eastAsia="楷体_GB2312" w:cs="Times New Roman"/>
          <w:b w:val="0"/>
          <w:bCs w:val="0"/>
          <w:caps w:val="0"/>
        </w:rPr>
        <w:fldChar w:fldCharType="separate"/>
      </w:r>
      <w:r>
        <w:rPr>
          <w:rFonts w:hint="default" w:ascii="Times New Roman" w:hAnsi="Times New Roman" w:eastAsia="楷体_GB2312" w:cs="Times New Roman"/>
          <w:b w:val="0"/>
          <w:bCs w:val="0"/>
          <w:caps w:val="0"/>
        </w:rPr>
        <w:t>8</w:t>
      </w:r>
      <w:r>
        <w:rPr>
          <w:rFonts w:hint="default" w:ascii="Times New Roman" w:hAnsi="Times New Roman" w:eastAsia="楷体_GB2312" w:cs="Times New Roman"/>
          <w:b w:val="0"/>
          <w:bCs w:val="0"/>
          <w:caps w:val="0"/>
        </w:rPr>
        <w:fldChar w:fldCharType="end"/>
      </w:r>
      <w:r>
        <w:rPr>
          <w:rFonts w:hint="default" w:ascii="Times New Roman" w:hAnsi="Times New Roman" w:eastAsia="楷体_GB2312"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楷体_GB2312" w:cs="Times New Roman"/>
          <w:b w:val="0"/>
          <w:bCs w:val="0"/>
          <w:caps w:val="0"/>
          <w:szCs w:val="22"/>
        </w:rPr>
      </w:pP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HYPERLINK \l "_Toc88053785" </w:instrText>
      </w:r>
      <w:r>
        <w:rPr>
          <w:rFonts w:hint="default" w:ascii="Times New Roman" w:hAnsi="Times New Roman" w:eastAsia="楷体_GB2312" w:cs="Times New Roman"/>
          <w:b w:val="0"/>
          <w:bCs w:val="0"/>
          <w:caps w:val="0"/>
        </w:rPr>
        <w:fldChar w:fldCharType="separate"/>
      </w:r>
      <w:r>
        <w:rPr>
          <w:rStyle w:val="23"/>
          <w:rFonts w:hint="default" w:ascii="Times New Roman" w:hAnsi="Times New Roman" w:eastAsia="楷体_GB2312" w:cs="Times New Roman"/>
          <w:b w:val="0"/>
          <w:bCs w:val="0"/>
          <w:caps w:val="0"/>
        </w:rPr>
        <w:t>1.3 编制原则</w:t>
      </w:r>
      <w:r>
        <w:rPr>
          <w:rFonts w:hint="default" w:ascii="Times New Roman" w:hAnsi="Times New Roman" w:eastAsia="楷体_GB2312" w:cs="Times New Roman"/>
          <w:b w:val="0"/>
          <w:bCs w:val="0"/>
          <w:caps w:val="0"/>
        </w:rPr>
        <w:tab/>
      </w: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PAGEREF _Toc88053785 \h </w:instrText>
      </w:r>
      <w:r>
        <w:rPr>
          <w:rFonts w:hint="default" w:ascii="Times New Roman" w:hAnsi="Times New Roman" w:eastAsia="楷体_GB2312" w:cs="Times New Roman"/>
          <w:b w:val="0"/>
          <w:bCs w:val="0"/>
          <w:caps w:val="0"/>
        </w:rPr>
        <w:fldChar w:fldCharType="separate"/>
      </w:r>
      <w:r>
        <w:rPr>
          <w:rFonts w:hint="default" w:ascii="Times New Roman" w:hAnsi="Times New Roman" w:eastAsia="楷体_GB2312" w:cs="Times New Roman"/>
          <w:b w:val="0"/>
          <w:bCs w:val="0"/>
          <w:caps w:val="0"/>
        </w:rPr>
        <w:t>9</w:t>
      </w:r>
      <w:r>
        <w:rPr>
          <w:rFonts w:hint="default" w:ascii="Times New Roman" w:hAnsi="Times New Roman" w:eastAsia="楷体_GB2312" w:cs="Times New Roman"/>
          <w:b w:val="0"/>
          <w:bCs w:val="0"/>
          <w:caps w:val="0"/>
        </w:rPr>
        <w:fldChar w:fldCharType="end"/>
      </w:r>
      <w:r>
        <w:rPr>
          <w:rFonts w:hint="default" w:ascii="Times New Roman" w:hAnsi="Times New Roman" w:eastAsia="楷体_GB2312"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HYPERLINK \l "_Toc88053786" </w:instrText>
      </w:r>
      <w:r>
        <w:rPr>
          <w:rFonts w:hint="default" w:ascii="Times New Roman" w:hAnsi="Times New Roman" w:eastAsia="楷体_GB2312" w:cs="Times New Roman"/>
          <w:b w:val="0"/>
          <w:bCs w:val="0"/>
          <w:caps w:val="0"/>
        </w:rPr>
        <w:fldChar w:fldCharType="separate"/>
      </w:r>
      <w:r>
        <w:rPr>
          <w:rStyle w:val="23"/>
          <w:rFonts w:hint="default" w:ascii="Times New Roman" w:hAnsi="Times New Roman" w:eastAsia="楷体_GB2312" w:cs="Times New Roman"/>
          <w:b w:val="0"/>
          <w:bCs w:val="0"/>
          <w:caps w:val="0"/>
        </w:rPr>
        <w:t>1.4 规划范围与期限</w:t>
      </w:r>
      <w:r>
        <w:rPr>
          <w:rFonts w:hint="default" w:ascii="Times New Roman" w:hAnsi="Times New Roman" w:eastAsia="楷体_GB2312" w:cs="Times New Roman"/>
          <w:b w:val="0"/>
          <w:bCs w:val="0"/>
          <w:caps w:val="0"/>
        </w:rPr>
        <w:tab/>
      </w: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PAGEREF _Toc88053786 \h </w:instrText>
      </w:r>
      <w:r>
        <w:rPr>
          <w:rFonts w:hint="default" w:ascii="Times New Roman" w:hAnsi="Times New Roman" w:eastAsia="楷体_GB2312" w:cs="Times New Roman"/>
          <w:b w:val="0"/>
          <w:bCs w:val="0"/>
          <w:caps w:val="0"/>
        </w:rPr>
        <w:fldChar w:fldCharType="separate"/>
      </w:r>
      <w:r>
        <w:rPr>
          <w:rFonts w:hint="default" w:ascii="Times New Roman" w:hAnsi="Times New Roman" w:eastAsia="楷体_GB2312" w:cs="Times New Roman"/>
          <w:b w:val="0"/>
          <w:bCs w:val="0"/>
          <w:caps w:val="0"/>
        </w:rPr>
        <w:t>10</w:t>
      </w:r>
      <w:r>
        <w:rPr>
          <w:rFonts w:hint="default" w:ascii="Times New Roman" w:hAnsi="Times New Roman" w:eastAsia="楷体_GB2312" w:cs="Times New Roman"/>
          <w:b w:val="0"/>
          <w:bCs w:val="0"/>
          <w:caps w:val="0"/>
        </w:rPr>
        <w:fldChar w:fldCharType="end"/>
      </w:r>
      <w:r>
        <w:rPr>
          <w:rFonts w:hint="default" w:ascii="Times New Roman" w:hAnsi="Times New Roman" w:eastAsia="楷体_GB2312" w:cs="Times New Roman"/>
          <w:b w:val="0"/>
          <w:bCs w:val="0"/>
          <w:caps w:val="0"/>
        </w:rPr>
        <w:fldChar w:fldCharType="end"/>
      </w:r>
    </w:p>
    <w:p>
      <w:pPr>
        <w:pStyle w:val="14"/>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"_Toc88053787" </w:instrText>
      </w:r>
      <w:r>
        <w:rPr>
          <w:rFonts w:hint="default" w:ascii="Times New Roman" w:hAnsi="Times New Roman" w:cs="Times New Roman"/>
          <w:b w:val="0"/>
          <w:bCs w:val="0"/>
          <w:caps w:val="0"/>
        </w:rPr>
        <w:fldChar w:fldCharType="separate"/>
      </w:r>
      <w:r>
        <w:rPr>
          <w:rStyle w:val="23"/>
          <w:rFonts w:hint="default" w:ascii="Times New Roman" w:hAnsi="Times New Roman" w:eastAsia="黑体" w:cs="Times New Roman"/>
          <w:b w:val="0"/>
          <w:bCs w:val="0"/>
          <w:caps w:val="0"/>
        </w:rPr>
        <w:t>2、2013－2020年环境保护规划实施情况回顾</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_Toc88053787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11</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楷体_GB2312" w:cs="Times New Roman"/>
          <w:b w:val="0"/>
          <w:bCs w:val="0"/>
          <w:caps w:val="0"/>
          <w:szCs w:val="22"/>
        </w:rPr>
      </w:pP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HYPERLINK \l "_Toc88053788" </w:instrText>
      </w:r>
      <w:r>
        <w:rPr>
          <w:rFonts w:hint="default" w:ascii="Times New Roman" w:hAnsi="Times New Roman" w:eastAsia="楷体_GB2312" w:cs="Times New Roman"/>
          <w:b w:val="0"/>
          <w:bCs w:val="0"/>
          <w:caps w:val="0"/>
        </w:rPr>
        <w:fldChar w:fldCharType="separate"/>
      </w:r>
      <w:r>
        <w:rPr>
          <w:rStyle w:val="23"/>
          <w:rFonts w:hint="default" w:ascii="Times New Roman" w:hAnsi="Times New Roman" w:eastAsia="楷体_GB2312" w:cs="Times New Roman"/>
          <w:b w:val="0"/>
          <w:bCs w:val="0"/>
          <w:caps w:val="0"/>
        </w:rPr>
        <w:t>2.1 主要工作成效</w:t>
      </w:r>
      <w:r>
        <w:rPr>
          <w:rFonts w:hint="default" w:ascii="Times New Roman" w:hAnsi="Times New Roman" w:eastAsia="楷体_GB2312" w:cs="Times New Roman"/>
          <w:b w:val="0"/>
          <w:bCs w:val="0"/>
          <w:caps w:val="0"/>
        </w:rPr>
        <w:tab/>
      </w: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PAGEREF _Toc88053788 \h </w:instrText>
      </w:r>
      <w:r>
        <w:rPr>
          <w:rFonts w:hint="default" w:ascii="Times New Roman" w:hAnsi="Times New Roman" w:eastAsia="楷体_GB2312" w:cs="Times New Roman"/>
          <w:b w:val="0"/>
          <w:bCs w:val="0"/>
          <w:caps w:val="0"/>
        </w:rPr>
        <w:fldChar w:fldCharType="separate"/>
      </w:r>
      <w:r>
        <w:rPr>
          <w:rFonts w:hint="default" w:ascii="Times New Roman" w:hAnsi="Times New Roman" w:eastAsia="楷体_GB2312" w:cs="Times New Roman"/>
          <w:b w:val="0"/>
          <w:bCs w:val="0"/>
          <w:caps w:val="0"/>
        </w:rPr>
        <w:t>11</w:t>
      </w:r>
      <w:r>
        <w:rPr>
          <w:rFonts w:hint="default" w:ascii="Times New Roman" w:hAnsi="Times New Roman" w:eastAsia="楷体_GB2312" w:cs="Times New Roman"/>
          <w:b w:val="0"/>
          <w:bCs w:val="0"/>
          <w:caps w:val="0"/>
        </w:rPr>
        <w:fldChar w:fldCharType="end"/>
      </w:r>
      <w:r>
        <w:rPr>
          <w:rFonts w:hint="default" w:ascii="Times New Roman" w:hAnsi="Times New Roman" w:eastAsia="楷体_GB2312"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楷体_GB2312" w:cs="Times New Roman"/>
          <w:b w:val="0"/>
          <w:bCs w:val="0"/>
          <w:caps w:val="0"/>
          <w:szCs w:val="22"/>
        </w:rPr>
      </w:pP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HYPERLINK \l "_Toc88053794" </w:instrText>
      </w:r>
      <w:r>
        <w:rPr>
          <w:rFonts w:hint="default" w:ascii="Times New Roman" w:hAnsi="Times New Roman" w:eastAsia="楷体_GB2312" w:cs="Times New Roman"/>
          <w:b w:val="0"/>
          <w:bCs w:val="0"/>
          <w:caps w:val="0"/>
        </w:rPr>
        <w:fldChar w:fldCharType="separate"/>
      </w:r>
      <w:r>
        <w:rPr>
          <w:rStyle w:val="23"/>
          <w:rFonts w:hint="default" w:ascii="Times New Roman" w:hAnsi="Times New Roman" w:eastAsia="楷体_GB2312" w:cs="Times New Roman"/>
          <w:b w:val="0"/>
          <w:bCs w:val="0"/>
          <w:caps w:val="0"/>
        </w:rPr>
        <w:t>2.2 重点工程建设总体进展</w:t>
      </w:r>
      <w:r>
        <w:rPr>
          <w:rFonts w:hint="default" w:ascii="Times New Roman" w:hAnsi="Times New Roman" w:eastAsia="楷体_GB2312" w:cs="Times New Roman"/>
          <w:b w:val="0"/>
          <w:bCs w:val="0"/>
          <w:caps w:val="0"/>
        </w:rPr>
        <w:tab/>
      </w: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PAGEREF _Toc88053794 \h </w:instrText>
      </w:r>
      <w:r>
        <w:rPr>
          <w:rFonts w:hint="default" w:ascii="Times New Roman" w:hAnsi="Times New Roman" w:eastAsia="楷体_GB2312" w:cs="Times New Roman"/>
          <w:b w:val="0"/>
          <w:bCs w:val="0"/>
          <w:caps w:val="0"/>
        </w:rPr>
        <w:fldChar w:fldCharType="separate"/>
      </w:r>
      <w:r>
        <w:rPr>
          <w:rFonts w:hint="default" w:ascii="Times New Roman" w:hAnsi="Times New Roman" w:eastAsia="楷体_GB2312" w:cs="Times New Roman"/>
          <w:b w:val="0"/>
          <w:bCs w:val="0"/>
          <w:caps w:val="0"/>
        </w:rPr>
        <w:t>20</w:t>
      </w:r>
      <w:r>
        <w:rPr>
          <w:rFonts w:hint="default" w:ascii="Times New Roman" w:hAnsi="Times New Roman" w:eastAsia="楷体_GB2312" w:cs="Times New Roman"/>
          <w:b w:val="0"/>
          <w:bCs w:val="0"/>
          <w:caps w:val="0"/>
        </w:rPr>
        <w:fldChar w:fldCharType="end"/>
      </w:r>
      <w:r>
        <w:rPr>
          <w:rFonts w:hint="default" w:ascii="Times New Roman" w:hAnsi="Times New Roman" w:eastAsia="楷体_GB2312"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HYPERLINK \l "_Toc88053801" </w:instrText>
      </w:r>
      <w:r>
        <w:rPr>
          <w:rFonts w:hint="default" w:ascii="Times New Roman" w:hAnsi="Times New Roman" w:eastAsia="楷体_GB2312" w:cs="Times New Roman"/>
          <w:b w:val="0"/>
          <w:bCs w:val="0"/>
          <w:caps w:val="0"/>
        </w:rPr>
        <w:fldChar w:fldCharType="separate"/>
      </w:r>
      <w:r>
        <w:rPr>
          <w:rStyle w:val="23"/>
          <w:rFonts w:hint="default" w:ascii="Times New Roman" w:hAnsi="Times New Roman" w:eastAsia="楷体_GB2312" w:cs="Times New Roman"/>
          <w:b w:val="0"/>
          <w:bCs w:val="0"/>
          <w:caps w:val="0"/>
        </w:rPr>
        <w:t>2.3 指标完成情况</w:t>
      </w:r>
      <w:r>
        <w:rPr>
          <w:rFonts w:hint="default" w:ascii="Times New Roman" w:hAnsi="Times New Roman" w:eastAsia="楷体_GB2312" w:cs="Times New Roman"/>
          <w:b w:val="0"/>
          <w:bCs w:val="0"/>
          <w:caps w:val="0"/>
        </w:rPr>
        <w:tab/>
      </w: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PAGEREF _Toc88053801 \h </w:instrText>
      </w:r>
      <w:r>
        <w:rPr>
          <w:rFonts w:hint="default" w:ascii="Times New Roman" w:hAnsi="Times New Roman" w:eastAsia="楷体_GB2312" w:cs="Times New Roman"/>
          <w:b w:val="0"/>
          <w:bCs w:val="0"/>
          <w:caps w:val="0"/>
        </w:rPr>
        <w:fldChar w:fldCharType="separate"/>
      </w:r>
      <w:r>
        <w:rPr>
          <w:rFonts w:hint="default" w:ascii="Times New Roman" w:hAnsi="Times New Roman" w:eastAsia="楷体_GB2312" w:cs="Times New Roman"/>
          <w:b w:val="0"/>
          <w:bCs w:val="0"/>
          <w:caps w:val="0"/>
        </w:rPr>
        <w:t>24</w:t>
      </w:r>
      <w:r>
        <w:rPr>
          <w:rFonts w:hint="default" w:ascii="Times New Roman" w:hAnsi="Times New Roman" w:eastAsia="楷体_GB2312" w:cs="Times New Roman"/>
          <w:b w:val="0"/>
          <w:bCs w:val="0"/>
          <w:caps w:val="0"/>
        </w:rPr>
        <w:fldChar w:fldCharType="end"/>
      </w:r>
      <w:r>
        <w:rPr>
          <w:rFonts w:hint="default" w:ascii="Times New Roman" w:hAnsi="Times New Roman" w:eastAsia="楷体_GB2312" w:cs="Times New Roman"/>
          <w:b w:val="0"/>
          <w:bCs w:val="0"/>
          <w:caps w:val="0"/>
        </w:rPr>
        <w:fldChar w:fldCharType="end"/>
      </w:r>
    </w:p>
    <w:p>
      <w:pPr>
        <w:pStyle w:val="14"/>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"_Toc88053802" </w:instrText>
      </w:r>
      <w:r>
        <w:rPr>
          <w:rFonts w:hint="default" w:ascii="Times New Roman" w:hAnsi="Times New Roman" w:cs="Times New Roman"/>
          <w:b w:val="0"/>
          <w:bCs w:val="0"/>
          <w:caps w:val="0"/>
        </w:rPr>
        <w:fldChar w:fldCharType="separate"/>
      </w:r>
      <w:r>
        <w:rPr>
          <w:rStyle w:val="23"/>
          <w:rFonts w:hint="default" w:ascii="Times New Roman" w:hAnsi="Times New Roman" w:eastAsia="黑体" w:cs="Times New Roman"/>
          <w:b w:val="0"/>
          <w:bCs w:val="0"/>
          <w:caps w:val="0"/>
          <w:kern w:val="44"/>
        </w:rPr>
        <w:t>3、机遇与挑战</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_Toc88053802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27</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楷体_GB2312" w:cs="Times New Roman"/>
          <w:b w:val="0"/>
          <w:bCs w:val="0"/>
          <w:caps w:val="0"/>
          <w:szCs w:val="22"/>
        </w:rPr>
      </w:pP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HYPERLINK \l "_Toc88053803" </w:instrText>
      </w:r>
      <w:r>
        <w:rPr>
          <w:rFonts w:hint="default" w:ascii="Times New Roman" w:hAnsi="Times New Roman" w:eastAsia="楷体_GB2312" w:cs="Times New Roman"/>
          <w:b w:val="0"/>
          <w:bCs w:val="0"/>
          <w:caps w:val="0"/>
        </w:rPr>
        <w:fldChar w:fldCharType="separate"/>
      </w:r>
      <w:r>
        <w:rPr>
          <w:rStyle w:val="23"/>
          <w:rFonts w:hint="default" w:ascii="Times New Roman" w:hAnsi="Times New Roman" w:eastAsia="楷体_GB2312" w:cs="Times New Roman"/>
          <w:b w:val="0"/>
          <w:bCs w:val="0"/>
          <w:caps w:val="0"/>
        </w:rPr>
        <w:t>3.1 新机遇</w:t>
      </w:r>
      <w:r>
        <w:rPr>
          <w:rFonts w:hint="default" w:ascii="Times New Roman" w:hAnsi="Times New Roman" w:eastAsia="楷体_GB2312" w:cs="Times New Roman"/>
          <w:b w:val="0"/>
          <w:bCs w:val="0"/>
          <w:caps w:val="0"/>
        </w:rPr>
        <w:tab/>
      </w: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PAGEREF _Toc88053803 \h </w:instrText>
      </w:r>
      <w:r>
        <w:rPr>
          <w:rFonts w:hint="default" w:ascii="Times New Roman" w:hAnsi="Times New Roman" w:eastAsia="楷体_GB2312" w:cs="Times New Roman"/>
          <w:b w:val="0"/>
          <w:bCs w:val="0"/>
          <w:caps w:val="0"/>
        </w:rPr>
        <w:fldChar w:fldCharType="separate"/>
      </w:r>
      <w:r>
        <w:rPr>
          <w:rFonts w:hint="default" w:ascii="Times New Roman" w:hAnsi="Times New Roman" w:eastAsia="楷体_GB2312" w:cs="Times New Roman"/>
          <w:b w:val="0"/>
          <w:bCs w:val="0"/>
          <w:caps w:val="0"/>
        </w:rPr>
        <w:t>27</w:t>
      </w:r>
      <w:r>
        <w:rPr>
          <w:rFonts w:hint="default" w:ascii="Times New Roman" w:hAnsi="Times New Roman" w:eastAsia="楷体_GB2312" w:cs="Times New Roman"/>
          <w:b w:val="0"/>
          <w:bCs w:val="0"/>
          <w:caps w:val="0"/>
        </w:rPr>
        <w:fldChar w:fldCharType="end"/>
      </w:r>
      <w:r>
        <w:rPr>
          <w:rFonts w:hint="default" w:ascii="Times New Roman" w:hAnsi="Times New Roman" w:eastAsia="楷体_GB2312"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楷体_GB2312" w:cs="Times New Roman"/>
          <w:b w:val="0"/>
          <w:bCs w:val="0"/>
          <w:caps w:val="0"/>
          <w:szCs w:val="22"/>
        </w:rPr>
      </w:pP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HYPERLINK \l "_Toc88053804" </w:instrText>
      </w:r>
      <w:r>
        <w:rPr>
          <w:rFonts w:hint="default" w:ascii="Times New Roman" w:hAnsi="Times New Roman" w:eastAsia="楷体_GB2312" w:cs="Times New Roman"/>
          <w:b w:val="0"/>
          <w:bCs w:val="0"/>
          <w:caps w:val="0"/>
        </w:rPr>
        <w:fldChar w:fldCharType="separate"/>
      </w:r>
      <w:r>
        <w:rPr>
          <w:rStyle w:val="23"/>
          <w:rFonts w:hint="default" w:ascii="Times New Roman" w:hAnsi="Times New Roman" w:eastAsia="楷体_GB2312" w:cs="Times New Roman"/>
          <w:b w:val="0"/>
          <w:bCs w:val="0"/>
          <w:caps w:val="0"/>
        </w:rPr>
        <w:t>3.2 新挑战</w:t>
      </w:r>
      <w:r>
        <w:rPr>
          <w:rFonts w:hint="default" w:ascii="Times New Roman" w:hAnsi="Times New Roman" w:eastAsia="楷体_GB2312" w:cs="Times New Roman"/>
          <w:b w:val="0"/>
          <w:bCs w:val="0"/>
          <w:caps w:val="0"/>
        </w:rPr>
        <w:tab/>
      </w: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PAGEREF _Toc88053804 \h </w:instrText>
      </w:r>
      <w:r>
        <w:rPr>
          <w:rFonts w:hint="default" w:ascii="Times New Roman" w:hAnsi="Times New Roman" w:eastAsia="楷体_GB2312" w:cs="Times New Roman"/>
          <w:b w:val="0"/>
          <w:bCs w:val="0"/>
          <w:caps w:val="0"/>
        </w:rPr>
        <w:fldChar w:fldCharType="separate"/>
      </w:r>
      <w:r>
        <w:rPr>
          <w:rFonts w:hint="default" w:ascii="Times New Roman" w:hAnsi="Times New Roman" w:eastAsia="楷体_GB2312" w:cs="Times New Roman"/>
          <w:b w:val="0"/>
          <w:bCs w:val="0"/>
          <w:caps w:val="0"/>
        </w:rPr>
        <w:t>28</w:t>
      </w:r>
      <w:r>
        <w:rPr>
          <w:rFonts w:hint="default" w:ascii="Times New Roman" w:hAnsi="Times New Roman" w:eastAsia="楷体_GB2312" w:cs="Times New Roman"/>
          <w:b w:val="0"/>
          <w:bCs w:val="0"/>
          <w:caps w:val="0"/>
        </w:rPr>
        <w:fldChar w:fldCharType="end"/>
      </w:r>
      <w:r>
        <w:rPr>
          <w:rFonts w:hint="default" w:ascii="Times New Roman" w:hAnsi="Times New Roman" w:eastAsia="楷体_GB2312"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楷体_GB2312" w:cs="Times New Roman"/>
          <w:b w:val="0"/>
          <w:bCs w:val="0"/>
          <w:caps w:val="0"/>
          <w:szCs w:val="22"/>
        </w:rPr>
      </w:pP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HYPERLINK \l "_Toc88053805" </w:instrText>
      </w:r>
      <w:r>
        <w:rPr>
          <w:rFonts w:hint="default" w:ascii="Times New Roman" w:hAnsi="Times New Roman" w:eastAsia="楷体_GB2312" w:cs="Times New Roman"/>
          <w:b w:val="0"/>
          <w:bCs w:val="0"/>
          <w:caps w:val="0"/>
        </w:rPr>
        <w:fldChar w:fldCharType="separate"/>
      </w:r>
      <w:r>
        <w:rPr>
          <w:rStyle w:val="23"/>
          <w:rFonts w:hint="default" w:ascii="Times New Roman" w:hAnsi="Times New Roman" w:eastAsia="楷体_GB2312" w:cs="Times New Roman"/>
          <w:b w:val="0"/>
          <w:bCs w:val="0"/>
          <w:caps w:val="0"/>
        </w:rPr>
        <w:t>3.3 环境质量现状</w:t>
      </w:r>
      <w:r>
        <w:rPr>
          <w:rFonts w:hint="default" w:ascii="Times New Roman" w:hAnsi="Times New Roman" w:eastAsia="楷体_GB2312" w:cs="Times New Roman"/>
          <w:b w:val="0"/>
          <w:bCs w:val="0"/>
          <w:caps w:val="0"/>
        </w:rPr>
        <w:tab/>
      </w: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PAGEREF _Toc88053805 \h </w:instrText>
      </w:r>
      <w:r>
        <w:rPr>
          <w:rFonts w:hint="default" w:ascii="Times New Roman" w:hAnsi="Times New Roman" w:eastAsia="楷体_GB2312" w:cs="Times New Roman"/>
          <w:b w:val="0"/>
          <w:bCs w:val="0"/>
          <w:caps w:val="0"/>
        </w:rPr>
        <w:fldChar w:fldCharType="separate"/>
      </w:r>
      <w:r>
        <w:rPr>
          <w:rFonts w:hint="default" w:ascii="Times New Roman" w:hAnsi="Times New Roman" w:eastAsia="楷体_GB2312" w:cs="Times New Roman"/>
          <w:b w:val="0"/>
          <w:bCs w:val="0"/>
          <w:caps w:val="0"/>
        </w:rPr>
        <w:t>29</w:t>
      </w:r>
      <w:r>
        <w:rPr>
          <w:rFonts w:hint="default" w:ascii="Times New Roman" w:hAnsi="Times New Roman" w:eastAsia="楷体_GB2312" w:cs="Times New Roman"/>
          <w:b w:val="0"/>
          <w:bCs w:val="0"/>
          <w:caps w:val="0"/>
        </w:rPr>
        <w:fldChar w:fldCharType="end"/>
      </w:r>
      <w:r>
        <w:rPr>
          <w:rFonts w:hint="default" w:ascii="Times New Roman" w:hAnsi="Times New Roman" w:eastAsia="楷体_GB2312"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HYPERLINK \l "_Toc88053806" </w:instrText>
      </w:r>
      <w:r>
        <w:rPr>
          <w:rFonts w:hint="default" w:ascii="Times New Roman" w:hAnsi="Times New Roman" w:eastAsia="楷体_GB2312" w:cs="Times New Roman"/>
          <w:b w:val="0"/>
          <w:bCs w:val="0"/>
          <w:caps w:val="0"/>
        </w:rPr>
        <w:fldChar w:fldCharType="separate"/>
      </w:r>
      <w:r>
        <w:rPr>
          <w:rStyle w:val="23"/>
          <w:rFonts w:hint="default" w:ascii="Times New Roman" w:hAnsi="Times New Roman" w:eastAsia="楷体_GB2312" w:cs="Times New Roman"/>
          <w:b w:val="0"/>
          <w:bCs w:val="0"/>
          <w:caps w:val="0"/>
        </w:rPr>
        <w:t>3.4 主要环境问题</w:t>
      </w:r>
      <w:r>
        <w:rPr>
          <w:rFonts w:hint="default" w:ascii="Times New Roman" w:hAnsi="Times New Roman" w:eastAsia="楷体_GB2312" w:cs="Times New Roman"/>
          <w:b w:val="0"/>
          <w:bCs w:val="0"/>
          <w:caps w:val="0"/>
        </w:rPr>
        <w:tab/>
      </w: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PAGEREF _Toc88053806 \h </w:instrText>
      </w:r>
      <w:r>
        <w:rPr>
          <w:rFonts w:hint="default" w:ascii="Times New Roman" w:hAnsi="Times New Roman" w:eastAsia="楷体_GB2312" w:cs="Times New Roman"/>
          <w:b w:val="0"/>
          <w:bCs w:val="0"/>
          <w:caps w:val="0"/>
        </w:rPr>
        <w:fldChar w:fldCharType="separate"/>
      </w:r>
      <w:r>
        <w:rPr>
          <w:rFonts w:hint="default" w:ascii="Times New Roman" w:hAnsi="Times New Roman" w:eastAsia="楷体_GB2312" w:cs="Times New Roman"/>
          <w:b w:val="0"/>
          <w:bCs w:val="0"/>
          <w:caps w:val="0"/>
        </w:rPr>
        <w:t>31</w:t>
      </w:r>
      <w:r>
        <w:rPr>
          <w:rFonts w:hint="default" w:ascii="Times New Roman" w:hAnsi="Times New Roman" w:eastAsia="楷体_GB2312" w:cs="Times New Roman"/>
          <w:b w:val="0"/>
          <w:bCs w:val="0"/>
          <w:caps w:val="0"/>
        </w:rPr>
        <w:fldChar w:fldCharType="end"/>
      </w:r>
      <w:r>
        <w:rPr>
          <w:rFonts w:hint="default" w:ascii="Times New Roman" w:hAnsi="Times New Roman" w:eastAsia="楷体_GB2312" w:cs="Times New Roman"/>
          <w:b w:val="0"/>
          <w:bCs w:val="0"/>
          <w:caps w:val="0"/>
        </w:rPr>
        <w:fldChar w:fldCharType="end"/>
      </w:r>
    </w:p>
    <w:p>
      <w:pPr>
        <w:pStyle w:val="14"/>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"_Toc88053807" </w:instrText>
      </w:r>
      <w:r>
        <w:rPr>
          <w:rFonts w:hint="default" w:ascii="Times New Roman" w:hAnsi="Times New Roman" w:cs="Times New Roman"/>
          <w:b w:val="0"/>
          <w:bCs w:val="0"/>
          <w:caps w:val="0"/>
        </w:rPr>
        <w:fldChar w:fldCharType="separate"/>
      </w:r>
      <w:r>
        <w:rPr>
          <w:rStyle w:val="23"/>
          <w:rFonts w:hint="default" w:ascii="Times New Roman" w:hAnsi="Times New Roman" w:eastAsia="黑体" w:cs="Times New Roman"/>
          <w:b w:val="0"/>
          <w:bCs w:val="0"/>
          <w:caps w:val="0"/>
        </w:rPr>
        <w:t>4、规划目标与指标</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_Toc88053807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35</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楷体_GB2312" w:cs="Times New Roman"/>
          <w:b w:val="0"/>
          <w:bCs w:val="0"/>
          <w:caps w:val="0"/>
          <w:szCs w:val="22"/>
        </w:rPr>
      </w:pP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HYPERLINK \l "_Toc88053808" </w:instrText>
      </w:r>
      <w:r>
        <w:rPr>
          <w:rFonts w:hint="default" w:ascii="Times New Roman" w:hAnsi="Times New Roman" w:eastAsia="楷体_GB2312" w:cs="Times New Roman"/>
          <w:b w:val="0"/>
          <w:bCs w:val="0"/>
          <w:caps w:val="0"/>
        </w:rPr>
        <w:fldChar w:fldCharType="separate"/>
      </w:r>
      <w:r>
        <w:rPr>
          <w:rStyle w:val="23"/>
          <w:rFonts w:hint="default" w:ascii="Times New Roman" w:hAnsi="Times New Roman" w:eastAsia="楷体_GB2312" w:cs="Times New Roman"/>
          <w:b w:val="0"/>
          <w:bCs w:val="0"/>
          <w:caps w:val="0"/>
        </w:rPr>
        <w:t>4.1 总体目标</w:t>
      </w:r>
      <w:r>
        <w:rPr>
          <w:rFonts w:hint="default" w:ascii="Times New Roman" w:hAnsi="Times New Roman" w:eastAsia="楷体_GB2312" w:cs="Times New Roman"/>
          <w:b w:val="0"/>
          <w:bCs w:val="0"/>
          <w:caps w:val="0"/>
        </w:rPr>
        <w:tab/>
      </w: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PAGEREF _Toc88053808 \h </w:instrText>
      </w:r>
      <w:r>
        <w:rPr>
          <w:rFonts w:hint="default" w:ascii="Times New Roman" w:hAnsi="Times New Roman" w:eastAsia="楷体_GB2312" w:cs="Times New Roman"/>
          <w:b w:val="0"/>
          <w:bCs w:val="0"/>
          <w:caps w:val="0"/>
        </w:rPr>
        <w:fldChar w:fldCharType="separate"/>
      </w:r>
      <w:r>
        <w:rPr>
          <w:rFonts w:hint="default" w:ascii="Times New Roman" w:hAnsi="Times New Roman" w:eastAsia="楷体_GB2312" w:cs="Times New Roman"/>
          <w:b w:val="0"/>
          <w:bCs w:val="0"/>
          <w:caps w:val="0"/>
        </w:rPr>
        <w:t>35</w:t>
      </w:r>
      <w:r>
        <w:rPr>
          <w:rFonts w:hint="default" w:ascii="Times New Roman" w:hAnsi="Times New Roman" w:eastAsia="楷体_GB2312" w:cs="Times New Roman"/>
          <w:b w:val="0"/>
          <w:bCs w:val="0"/>
          <w:caps w:val="0"/>
        </w:rPr>
        <w:fldChar w:fldCharType="end"/>
      </w:r>
      <w:r>
        <w:rPr>
          <w:rFonts w:hint="default" w:ascii="Times New Roman" w:hAnsi="Times New Roman" w:eastAsia="楷体_GB2312"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楷体_GB2312" w:cs="Times New Roman"/>
          <w:b w:val="0"/>
          <w:bCs w:val="0"/>
          <w:caps w:val="0"/>
          <w:szCs w:val="22"/>
        </w:rPr>
      </w:pP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HYPERLINK \l "_Toc88053809" </w:instrText>
      </w:r>
      <w:r>
        <w:rPr>
          <w:rFonts w:hint="default" w:ascii="Times New Roman" w:hAnsi="Times New Roman" w:eastAsia="楷体_GB2312" w:cs="Times New Roman"/>
          <w:b w:val="0"/>
          <w:bCs w:val="0"/>
          <w:caps w:val="0"/>
        </w:rPr>
        <w:fldChar w:fldCharType="separate"/>
      </w:r>
      <w:r>
        <w:rPr>
          <w:rStyle w:val="23"/>
          <w:rFonts w:hint="default" w:ascii="Times New Roman" w:hAnsi="Times New Roman" w:eastAsia="楷体_GB2312" w:cs="Times New Roman"/>
          <w:b w:val="0"/>
          <w:bCs w:val="0"/>
          <w:caps w:val="0"/>
        </w:rPr>
        <w:t>4.2 阶段目标</w:t>
      </w:r>
      <w:r>
        <w:rPr>
          <w:rFonts w:hint="default" w:ascii="Times New Roman" w:hAnsi="Times New Roman" w:eastAsia="楷体_GB2312" w:cs="Times New Roman"/>
          <w:b w:val="0"/>
          <w:bCs w:val="0"/>
          <w:caps w:val="0"/>
        </w:rPr>
        <w:tab/>
      </w: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PAGEREF _Toc88053809 \h </w:instrText>
      </w:r>
      <w:r>
        <w:rPr>
          <w:rFonts w:hint="default" w:ascii="Times New Roman" w:hAnsi="Times New Roman" w:eastAsia="楷体_GB2312" w:cs="Times New Roman"/>
          <w:b w:val="0"/>
          <w:bCs w:val="0"/>
          <w:caps w:val="0"/>
        </w:rPr>
        <w:fldChar w:fldCharType="separate"/>
      </w:r>
      <w:r>
        <w:rPr>
          <w:rFonts w:hint="default" w:ascii="Times New Roman" w:hAnsi="Times New Roman" w:eastAsia="楷体_GB2312" w:cs="Times New Roman"/>
          <w:b w:val="0"/>
          <w:bCs w:val="0"/>
          <w:caps w:val="0"/>
        </w:rPr>
        <w:t>35</w:t>
      </w:r>
      <w:r>
        <w:rPr>
          <w:rFonts w:hint="default" w:ascii="Times New Roman" w:hAnsi="Times New Roman" w:eastAsia="楷体_GB2312" w:cs="Times New Roman"/>
          <w:b w:val="0"/>
          <w:bCs w:val="0"/>
          <w:caps w:val="0"/>
        </w:rPr>
        <w:fldChar w:fldCharType="end"/>
      </w:r>
      <w:r>
        <w:rPr>
          <w:rFonts w:hint="default" w:ascii="Times New Roman" w:hAnsi="Times New Roman" w:eastAsia="楷体_GB2312"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楷体_GB2312" w:cs="Times New Roman"/>
          <w:b w:val="0"/>
          <w:bCs w:val="0"/>
          <w:caps w:val="0"/>
          <w:szCs w:val="22"/>
        </w:rPr>
      </w:pP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HYPERLINK \l "_Toc88053810" </w:instrText>
      </w:r>
      <w:r>
        <w:rPr>
          <w:rFonts w:hint="default" w:ascii="Times New Roman" w:hAnsi="Times New Roman" w:eastAsia="楷体_GB2312" w:cs="Times New Roman"/>
          <w:b w:val="0"/>
          <w:bCs w:val="0"/>
          <w:caps w:val="0"/>
        </w:rPr>
        <w:fldChar w:fldCharType="separate"/>
      </w:r>
      <w:r>
        <w:rPr>
          <w:rStyle w:val="23"/>
          <w:rFonts w:hint="default" w:ascii="Times New Roman" w:hAnsi="Times New Roman" w:eastAsia="楷体_GB2312" w:cs="Times New Roman"/>
          <w:b w:val="0"/>
          <w:bCs w:val="0"/>
          <w:caps w:val="0"/>
        </w:rPr>
        <w:t>4.3 规划指标</w:t>
      </w:r>
      <w:r>
        <w:rPr>
          <w:rFonts w:hint="default" w:ascii="Times New Roman" w:hAnsi="Times New Roman" w:eastAsia="楷体_GB2312" w:cs="Times New Roman"/>
          <w:b w:val="0"/>
          <w:bCs w:val="0"/>
          <w:caps w:val="0"/>
        </w:rPr>
        <w:tab/>
      </w: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PAGEREF _Toc88053810 \h </w:instrText>
      </w:r>
      <w:r>
        <w:rPr>
          <w:rFonts w:hint="default" w:ascii="Times New Roman" w:hAnsi="Times New Roman" w:eastAsia="楷体_GB2312" w:cs="Times New Roman"/>
          <w:b w:val="0"/>
          <w:bCs w:val="0"/>
          <w:caps w:val="0"/>
        </w:rPr>
        <w:fldChar w:fldCharType="separate"/>
      </w:r>
      <w:r>
        <w:rPr>
          <w:rFonts w:hint="default" w:ascii="Times New Roman" w:hAnsi="Times New Roman" w:eastAsia="楷体_GB2312" w:cs="Times New Roman"/>
          <w:b w:val="0"/>
          <w:bCs w:val="0"/>
          <w:caps w:val="0"/>
        </w:rPr>
        <w:t>36</w:t>
      </w:r>
      <w:r>
        <w:rPr>
          <w:rFonts w:hint="default" w:ascii="Times New Roman" w:hAnsi="Times New Roman" w:eastAsia="楷体_GB2312" w:cs="Times New Roman"/>
          <w:b w:val="0"/>
          <w:bCs w:val="0"/>
          <w:caps w:val="0"/>
        </w:rPr>
        <w:fldChar w:fldCharType="end"/>
      </w:r>
      <w:r>
        <w:rPr>
          <w:rFonts w:hint="default" w:ascii="Times New Roman" w:hAnsi="Times New Roman" w:eastAsia="楷体_GB2312" w:cs="Times New Roman"/>
          <w:b w:val="0"/>
          <w:bCs w:val="0"/>
          <w:caps w:val="0"/>
        </w:rPr>
        <w:fldChar w:fldCharType="end"/>
      </w:r>
    </w:p>
    <w:p>
      <w:pPr>
        <w:pStyle w:val="14"/>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"_Toc88053811" </w:instrText>
      </w:r>
      <w:r>
        <w:rPr>
          <w:rFonts w:hint="default" w:ascii="Times New Roman" w:hAnsi="Times New Roman" w:cs="Times New Roman"/>
          <w:b w:val="0"/>
          <w:bCs w:val="0"/>
          <w:caps w:val="0"/>
        </w:rPr>
        <w:fldChar w:fldCharType="separate"/>
      </w:r>
      <w:r>
        <w:rPr>
          <w:rStyle w:val="23"/>
          <w:rFonts w:hint="default" w:ascii="Times New Roman" w:hAnsi="Times New Roman" w:eastAsia="黑体" w:cs="Times New Roman"/>
          <w:b w:val="0"/>
          <w:bCs w:val="0"/>
          <w:caps w:val="0"/>
        </w:rPr>
        <w:t>5、生态与环境功能区划分</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_Toc88053811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38</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楷体_GB2312" w:cs="Times New Roman"/>
          <w:b w:val="0"/>
          <w:bCs w:val="0"/>
          <w:caps w:val="0"/>
          <w:szCs w:val="22"/>
        </w:rPr>
      </w:pP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HYPERLINK \l "_Toc88053812" </w:instrText>
      </w:r>
      <w:r>
        <w:rPr>
          <w:rFonts w:hint="default" w:ascii="Times New Roman" w:hAnsi="Times New Roman" w:eastAsia="楷体_GB2312" w:cs="Times New Roman"/>
          <w:b w:val="0"/>
          <w:bCs w:val="0"/>
          <w:caps w:val="0"/>
        </w:rPr>
        <w:fldChar w:fldCharType="separate"/>
      </w:r>
      <w:r>
        <w:rPr>
          <w:rStyle w:val="23"/>
          <w:rFonts w:hint="default" w:ascii="Times New Roman" w:hAnsi="Times New Roman" w:eastAsia="楷体_GB2312" w:cs="Times New Roman"/>
          <w:b w:val="0"/>
          <w:bCs w:val="0"/>
          <w:caps w:val="0"/>
        </w:rPr>
        <w:t>5.1 生态分级控制方案</w:t>
      </w:r>
      <w:r>
        <w:rPr>
          <w:rFonts w:hint="default" w:ascii="Times New Roman" w:hAnsi="Times New Roman" w:eastAsia="楷体_GB2312" w:cs="Times New Roman"/>
          <w:b w:val="0"/>
          <w:bCs w:val="0"/>
          <w:caps w:val="0"/>
        </w:rPr>
        <w:tab/>
      </w: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PAGEREF _Toc88053812 \h </w:instrText>
      </w:r>
      <w:r>
        <w:rPr>
          <w:rFonts w:hint="default" w:ascii="Times New Roman" w:hAnsi="Times New Roman" w:eastAsia="楷体_GB2312" w:cs="Times New Roman"/>
          <w:b w:val="0"/>
          <w:bCs w:val="0"/>
          <w:caps w:val="0"/>
        </w:rPr>
        <w:fldChar w:fldCharType="separate"/>
      </w:r>
      <w:r>
        <w:rPr>
          <w:rFonts w:hint="default" w:ascii="Times New Roman" w:hAnsi="Times New Roman" w:eastAsia="楷体_GB2312" w:cs="Times New Roman"/>
          <w:b w:val="0"/>
          <w:bCs w:val="0"/>
          <w:caps w:val="0"/>
        </w:rPr>
        <w:t>38</w:t>
      </w:r>
      <w:r>
        <w:rPr>
          <w:rFonts w:hint="default" w:ascii="Times New Roman" w:hAnsi="Times New Roman" w:eastAsia="楷体_GB2312" w:cs="Times New Roman"/>
          <w:b w:val="0"/>
          <w:bCs w:val="0"/>
          <w:caps w:val="0"/>
        </w:rPr>
        <w:fldChar w:fldCharType="end"/>
      </w:r>
      <w:r>
        <w:rPr>
          <w:rFonts w:hint="default" w:ascii="Times New Roman" w:hAnsi="Times New Roman" w:eastAsia="楷体_GB2312"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楷体_GB2312" w:cs="Times New Roman"/>
          <w:b w:val="0"/>
          <w:bCs w:val="0"/>
          <w:caps w:val="0"/>
          <w:szCs w:val="22"/>
        </w:rPr>
      </w:pP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HYPERLINK \l "_Toc88053813" </w:instrText>
      </w:r>
      <w:r>
        <w:rPr>
          <w:rFonts w:hint="default" w:ascii="Times New Roman" w:hAnsi="Times New Roman" w:eastAsia="楷体_GB2312" w:cs="Times New Roman"/>
          <w:b w:val="0"/>
          <w:bCs w:val="0"/>
          <w:caps w:val="0"/>
        </w:rPr>
        <w:fldChar w:fldCharType="separate"/>
      </w:r>
      <w:r>
        <w:rPr>
          <w:rStyle w:val="23"/>
          <w:rFonts w:hint="default" w:ascii="Times New Roman" w:hAnsi="Times New Roman" w:eastAsia="楷体_GB2312" w:cs="Times New Roman"/>
          <w:b w:val="0"/>
          <w:bCs w:val="0"/>
          <w:caps w:val="0"/>
        </w:rPr>
        <w:t>5.2 水环境功能区划分</w:t>
      </w:r>
      <w:r>
        <w:rPr>
          <w:rFonts w:hint="default" w:ascii="Times New Roman" w:hAnsi="Times New Roman" w:eastAsia="楷体_GB2312" w:cs="Times New Roman"/>
          <w:b w:val="0"/>
          <w:bCs w:val="0"/>
          <w:caps w:val="0"/>
        </w:rPr>
        <w:tab/>
      </w: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PAGEREF _Toc88053813 \h </w:instrText>
      </w:r>
      <w:r>
        <w:rPr>
          <w:rFonts w:hint="default" w:ascii="Times New Roman" w:hAnsi="Times New Roman" w:eastAsia="楷体_GB2312" w:cs="Times New Roman"/>
          <w:b w:val="0"/>
          <w:bCs w:val="0"/>
          <w:caps w:val="0"/>
        </w:rPr>
        <w:fldChar w:fldCharType="separate"/>
      </w:r>
      <w:r>
        <w:rPr>
          <w:rFonts w:hint="default" w:ascii="Times New Roman" w:hAnsi="Times New Roman" w:eastAsia="楷体_GB2312" w:cs="Times New Roman"/>
          <w:b w:val="0"/>
          <w:bCs w:val="0"/>
          <w:caps w:val="0"/>
        </w:rPr>
        <w:t>41</w:t>
      </w:r>
      <w:r>
        <w:rPr>
          <w:rFonts w:hint="default" w:ascii="Times New Roman" w:hAnsi="Times New Roman" w:eastAsia="楷体_GB2312" w:cs="Times New Roman"/>
          <w:b w:val="0"/>
          <w:bCs w:val="0"/>
          <w:caps w:val="0"/>
        </w:rPr>
        <w:fldChar w:fldCharType="end"/>
      </w:r>
      <w:r>
        <w:rPr>
          <w:rFonts w:hint="default" w:ascii="Times New Roman" w:hAnsi="Times New Roman" w:eastAsia="楷体_GB2312"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楷体_GB2312" w:cs="Times New Roman"/>
          <w:b w:val="0"/>
          <w:bCs w:val="0"/>
          <w:caps w:val="0"/>
          <w:szCs w:val="22"/>
        </w:rPr>
      </w:pP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HYPERLINK \l "_Toc88053814" </w:instrText>
      </w:r>
      <w:r>
        <w:rPr>
          <w:rFonts w:hint="default" w:ascii="Times New Roman" w:hAnsi="Times New Roman" w:eastAsia="楷体_GB2312" w:cs="Times New Roman"/>
          <w:b w:val="0"/>
          <w:bCs w:val="0"/>
          <w:caps w:val="0"/>
        </w:rPr>
        <w:fldChar w:fldCharType="separate"/>
      </w:r>
      <w:r>
        <w:rPr>
          <w:rStyle w:val="23"/>
          <w:rFonts w:hint="default" w:ascii="Times New Roman" w:hAnsi="Times New Roman" w:eastAsia="楷体_GB2312" w:cs="Times New Roman"/>
          <w:b w:val="0"/>
          <w:bCs w:val="0"/>
          <w:caps w:val="0"/>
        </w:rPr>
        <w:t>5.3 环境空气功能区划分</w:t>
      </w:r>
      <w:r>
        <w:rPr>
          <w:rFonts w:hint="default" w:ascii="Times New Roman" w:hAnsi="Times New Roman" w:eastAsia="楷体_GB2312" w:cs="Times New Roman"/>
          <w:b w:val="0"/>
          <w:bCs w:val="0"/>
          <w:caps w:val="0"/>
        </w:rPr>
        <w:tab/>
      </w: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PAGEREF _Toc88053814 \h </w:instrText>
      </w:r>
      <w:r>
        <w:rPr>
          <w:rFonts w:hint="default" w:ascii="Times New Roman" w:hAnsi="Times New Roman" w:eastAsia="楷体_GB2312" w:cs="Times New Roman"/>
          <w:b w:val="0"/>
          <w:bCs w:val="0"/>
          <w:caps w:val="0"/>
        </w:rPr>
        <w:fldChar w:fldCharType="separate"/>
      </w:r>
      <w:r>
        <w:rPr>
          <w:rFonts w:hint="default" w:ascii="Times New Roman" w:hAnsi="Times New Roman" w:eastAsia="楷体_GB2312" w:cs="Times New Roman"/>
          <w:b w:val="0"/>
          <w:bCs w:val="0"/>
          <w:caps w:val="0"/>
        </w:rPr>
        <w:t>43</w:t>
      </w:r>
      <w:r>
        <w:rPr>
          <w:rFonts w:hint="default" w:ascii="Times New Roman" w:hAnsi="Times New Roman" w:eastAsia="楷体_GB2312" w:cs="Times New Roman"/>
          <w:b w:val="0"/>
          <w:bCs w:val="0"/>
          <w:caps w:val="0"/>
        </w:rPr>
        <w:fldChar w:fldCharType="end"/>
      </w:r>
      <w:r>
        <w:rPr>
          <w:rFonts w:hint="default" w:ascii="Times New Roman" w:hAnsi="Times New Roman" w:eastAsia="楷体_GB2312"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HYPERLINK \l "_Toc88053815" </w:instrText>
      </w:r>
      <w:r>
        <w:rPr>
          <w:rFonts w:hint="default" w:ascii="Times New Roman" w:hAnsi="Times New Roman" w:eastAsia="楷体_GB2312" w:cs="Times New Roman"/>
          <w:b w:val="0"/>
          <w:bCs w:val="0"/>
          <w:caps w:val="0"/>
        </w:rPr>
        <w:fldChar w:fldCharType="separate"/>
      </w:r>
      <w:r>
        <w:rPr>
          <w:rStyle w:val="23"/>
          <w:rFonts w:hint="default" w:ascii="Times New Roman" w:hAnsi="Times New Roman" w:eastAsia="楷体_GB2312" w:cs="Times New Roman"/>
          <w:b w:val="0"/>
          <w:bCs w:val="0"/>
          <w:caps w:val="0"/>
        </w:rPr>
        <w:t>5.4 声环境功能区划分</w:t>
      </w:r>
      <w:r>
        <w:rPr>
          <w:rFonts w:hint="default" w:ascii="Times New Roman" w:hAnsi="Times New Roman" w:eastAsia="楷体_GB2312" w:cs="Times New Roman"/>
          <w:b w:val="0"/>
          <w:bCs w:val="0"/>
          <w:caps w:val="0"/>
        </w:rPr>
        <w:tab/>
      </w: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PAGEREF _Toc88053815 \h </w:instrText>
      </w:r>
      <w:r>
        <w:rPr>
          <w:rFonts w:hint="default" w:ascii="Times New Roman" w:hAnsi="Times New Roman" w:eastAsia="楷体_GB2312" w:cs="Times New Roman"/>
          <w:b w:val="0"/>
          <w:bCs w:val="0"/>
          <w:caps w:val="0"/>
        </w:rPr>
        <w:fldChar w:fldCharType="separate"/>
      </w:r>
      <w:r>
        <w:rPr>
          <w:rFonts w:hint="default" w:ascii="Times New Roman" w:hAnsi="Times New Roman" w:eastAsia="楷体_GB2312" w:cs="Times New Roman"/>
          <w:b w:val="0"/>
          <w:bCs w:val="0"/>
          <w:caps w:val="0"/>
        </w:rPr>
        <w:t>44</w:t>
      </w:r>
      <w:r>
        <w:rPr>
          <w:rFonts w:hint="default" w:ascii="Times New Roman" w:hAnsi="Times New Roman" w:eastAsia="楷体_GB2312" w:cs="Times New Roman"/>
          <w:b w:val="0"/>
          <w:bCs w:val="0"/>
          <w:caps w:val="0"/>
        </w:rPr>
        <w:fldChar w:fldCharType="end"/>
      </w:r>
      <w:r>
        <w:rPr>
          <w:rFonts w:hint="default" w:ascii="Times New Roman" w:hAnsi="Times New Roman" w:eastAsia="楷体_GB2312" w:cs="Times New Roman"/>
          <w:b w:val="0"/>
          <w:bCs w:val="0"/>
          <w:caps w:val="0"/>
        </w:rPr>
        <w:fldChar w:fldCharType="end"/>
      </w:r>
    </w:p>
    <w:p>
      <w:pPr>
        <w:pStyle w:val="14"/>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"_Toc88053816" </w:instrText>
      </w:r>
      <w:r>
        <w:rPr>
          <w:rFonts w:hint="default" w:ascii="Times New Roman" w:hAnsi="Times New Roman" w:cs="Times New Roman"/>
          <w:b w:val="0"/>
          <w:bCs w:val="0"/>
          <w:caps w:val="0"/>
        </w:rPr>
        <w:fldChar w:fldCharType="separate"/>
      </w:r>
      <w:r>
        <w:rPr>
          <w:rStyle w:val="23"/>
          <w:rFonts w:hint="default" w:ascii="Times New Roman" w:hAnsi="Times New Roman" w:eastAsia="黑体" w:cs="Times New Roman"/>
          <w:b w:val="0"/>
          <w:bCs w:val="0"/>
          <w:caps w:val="0"/>
        </w:rPr>
        <w:t>6、环境保护规划方案</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_Toc88053816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48</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"_Toc88053817" </w:instrText>
      </w:r>
      <w:r>
        <w:rPr>
          <w:rFonts w:hint="default" w:ascii="Times New Roman" w:hAnsi="Times New Roman" w:cs="Times New Roman"/>
          <w:b w:val="0"/>
          <w:bCs w:val="0"/>
          <w:caps w:val="0"/>
        </w:rPr>
        <w:fldChar w:fldCharType="separate"/>
      </w:r>
      <w:r>
        <w:rPr>
          <w:rStyle w:val="23"/>
          <w:rFonts w:hint="default" w:ascii="Times New Roman" w:hAnsi="Times New Roman" w:eastAsia="楷体_GB2312" w:cs="Times New Roman"/>
          <w:b w:val="0"/>
          <w:bCs w:val="0"/>
          <w:caps w:val="0"/>
        </w:rPr>
        <w:t>6.1 绿色发展规划</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_Toc88053817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48</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"_Toc88053818"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6.1.1 推动构建区域绿色发展新格局</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_Toc88053818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48</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"_Toc88053819"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6.1.2 持续推动结构优化升级</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_Toc88053819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49</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"_Toc88053820"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6.1.3 大力强化绿色科技创新</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_Toc88053820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51</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"_Toc88053821"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6.1.4 大力倡导绿色低碳生活方式</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_Toc88053821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52</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"_Toc88053822" </w:instrText>
      </w:r>
      <w:r>
        <w:rPr>
          <w:rFonts w:hint="default" w:ascii="Times New Roman" w:hAnsi="Times New Roman" w:cs="Times New Roman"/>
          <w:b w:val="0"/>
          <w:bCs w:val="0"/>
          <w:caps w:val="0"/>
        </w:rPr>
        <w:fldChar w:fldCharType="separate"/>
      </w:r>
      <w:r>
        <w:rPr>
          <w:rStyle w:val="23"/>
          <w:rFonts w:hint="default" w:ascii="Times New Roman" w:hAnsi="Times New Roman" w:eastAsia="楷体_GB2312" w:cs="Times New Roman"/>
          <w:b w:val="0"/>
          <w:bCs w:val="0"/>
          <w:caps w:val="0"/>
        </w:rPr>
        <w:t>6.2 应对气候变化规划</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_Toc88053822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52</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"_Toc88053823"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6.2.1 加强温室气体排放控制</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_Toc88053823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52</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"_Toc88053824"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6.2.2 深化低碳发展试点工作</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_Toc88053824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54</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"_Toc88053825"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6.2.3 提升气候变化适应能力</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_Toc88053825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55</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"_Toc88053826" </w:instrText>
      </w:r>
      <w:r>
        <w:rPr>
          <w:rFonts w:hint="default" w:ascii="Times New Roman" w:hAnsi="Times New Roman" w:cs="Times New Roman"/>
          <w:b w:val="0"/>
          <w:bCs w:val="0"/>
          <w:caps w:val="0"/>
        </w:rPr>
        <w:fldChar w:fldCharType="separate"/>
      </w:r>
      <w:r>
        <w:rPr>
          <w:rStyle w:val="23"/>
          <w:rFonts w:hint="default" w:ascii="Times New Roman" w:hAnsi="Times New Roman" w:eastAsia="楷体_GB2312" w:cs="Times New Roman"/>
          <w:b w:val="0"/>
          <w:bCs w:val="0"/>
          <w:caps w:val="0"/>
        </w:rPr>
        <w:t>6.3 水环境保护规划</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_Toc88053826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52</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"_Toc88053827"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6.3.1 完善水环境空间管控</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_Toc88053827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55</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"_Toc88053828"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6.3.2 加强饮用水水源水质保障</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_Toc88053828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56</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"_Toc88053829"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6.3.3 强化生活、工业、农业“三源”治理</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_Toc88053829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57</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"_Toc88053830"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6.3.4 推进流域水环境综合整治</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_Toc88053830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59</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"_Toc88053831"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6.3.5 推进水生态保护与修复</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_Toc88053831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60</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"_Toc88053832"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6.3.6 加强水资源保障</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_Toc88053832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61</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"_Toc88053833"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6.3.7 推进地下水污染防治</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_Toc88053833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61</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"_Toc88053834" </w:instrText>
      </w:r>
      <w:r>
        <w:rPr>
          <w:rFonts w:hint="default" w:ascii="Times New Roman" w:hAnsi="Times New Roman" w:cs="Times New Roman"/>
          <w:b w:val="0"/>
          <w:bCs w:val="0"/>
          <w:caps w:val="0"/>
        </w:rPr>
        <w:fldChar w:fldCharType="separate"/>
      </w:r>
      <w:r>
        <w:rPr>
          <w:rStyle w:val="23"/>
          <w:rFonts w:hint="default" w:ascii="Times New Roman" w:hAnsi="Times New Roman" w:eastAsia="楷体_GB2312" w:cs="Times New Roman"/>
          <w:b w:val="0"/>
          <w:bCs w:val="0"/>
          <w:caps w:val="0"/>
        </w:rPr>
        <w:t>6.4 大气环境污染防治规划</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_Toc88053834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62</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"_Toc88053835"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6.4.1 强化移动源污染防治</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_Toc88053835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62</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"_Toc88053836"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6.4.2 推动VOCs全过程精细化治理</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_Toc88053836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63</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"_Toc88053837"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6.4.3 深化重点工业源治理</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_Toc88053837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64</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"_Toc88053838"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6.4.4 推进其它面源防控</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_Toc88053838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65</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"_Toc88053839"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6.4.5 提升大气污染治理科学决策能力</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_Toc88053839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66</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"_Toc88053840"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 xml:space="preserve">6.5 </w:t>
      </w:r>
      <w:r>
        <w:rPr>
          <w:rStyle w:val="23"/>
          <w:rFonts w:hint="default" w:ascii="Times New Roman" w:hAnsi="Times New Roman" w:eastAsia="楷体_GB2312" w:cs="Times New Roman"/>
          <w:b w:val="0"/>
          <w:bCs w:val="0"/>
          <w:caps w:val="0"/>
        </w:rPr>
        <w:t>生态保护与建设规划</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_Toc88053840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66</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"_Toc88053841"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6.5.1 构筑区域生态安全格局</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_Toc88053841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66</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"_Toc88053842"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6.5.2 加强生态廊道打造</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_Toc88053842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68</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"_Toc88053843"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6.5.3 推进生态系统保护与修复</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_Toc88053843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69</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"_Toc88053844"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6.5.4 促进生物多样性保护</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_Toc88053844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70</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"_Toc88053845"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6.5.5 建立完善生态监管体系</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_Toc88053845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71</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"_Toc88053846"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6.6</w:t>
      </w:r>
      <w:r>
        <w:rPr>
          <w:rStyle w:val="23"/>
          <w:rFonts w:hint="default" w:ascii="Times New Roman" w:hAnsi="Times New Roman" w:eastAsia="楷体_GB2312" w:cs="Times New Roman"/>
          <w:b w:val="0"/>
          <w:bCs w:val="0"/>
          <w:caps w:val="0"/>
        </w:rPr>
        <w:t xml:space="preserve"> 土壤环境质量保护规划</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_Toc88053846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71</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"_Toc88053847"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6.6.1 加强土壤污染防治源头管控</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_Toc88053847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71</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"_Toc88053848"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6.6.2 实施农用地分类管理和建设用地风险管控</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_Toc88053848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73</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"_Toc88053849"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6.6.3 深入推进土壤污染治理与修复</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_Toc88053849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73</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"_Toc88053850"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6.6.4 持续提升土壤环境监管能力</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_Toc88053850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74</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"_Toc88053851"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 xml:space="preserve">6.7 </w:t>
      </w:r>
      <w:r>
        <w:rPr>
          <w:rStyle w:val="23"/>
          <w:rFonts w:hint="default" w:ascii="Times New Roman" w:hAnsi="Times New Roman" w:eastAsia="楷体_GB2312" w:cs="Times New Roman"/>
          <w:b w:val="0"/>
          <w:bCs w:val="0"/>
          <w:caps w:val="0"/>
        </w:rPr>
        <w:t>固体废物处理处置规划</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_Toc88053851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74</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"_Toc88053852"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6.7.1 推动固体废物源头减量化</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_Toc88053852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74</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"_Toc88053853"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6.7.2 持续提升固体废物资源化利用水平</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_Toc88053853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75</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"_Toc88053854"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6.7.3 完善固体废物收贮运体系</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_Toc88053854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76</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"_Toc88053855"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6.7.4 全方位提升利用处置能力</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_Toc88053855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77</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"_Toc88053856"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6.7.5 健全固体废物监管体系</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_Toc88053856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78</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"_Toc88053857"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 xml:space="preserve">6.8 </w:t>
      </w:r>
      <w:r>
        <w:rPr>
          <w:rStyle w:val="23"/>
          <w:rFonts w:hint="default" w:ascii="Times New Roman" w:hAnsi="Times New Roman" w:eastAsia="楷体_GB2312" w:cs="Times New Roman"/>
          <w:b w:val="0"/>
          <w:bCs w:val="0"/>
          <w:caps w:val="0"/>
        </w:rPr>
        <w:t>声环境污染防治规划</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_Toc88053857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79</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"_Toc88053858"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6.8.1 强化噪声源头防控</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_Toc88053858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79</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"_Toc88053859"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6.8.2 加强各类噪声污染防治</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_Toc88053859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80</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"_Toc88053860"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6.8.3 强化声环境质量管理工作</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_Toc88053860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82</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"_Toc88053861"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 xml:space="preserve">6.9 </w:t>
      </w:r>
      <w:r>
        <w:rPr>
          <w:rStyle w:val="23"/>
          <w:rFonts w:hint="default" w:ascii="Times New Roman" w:hAnsi="Times New Roman" w:eastAsia="楷体_GB2312" w:cs="Times New Roman"/>
          <w:b w:val="0"/>
          <w:bCs w:val="0"/>
          <w:caps w:val="0"/>
        </w:rPr>
        <w:t>农村生态环境保护规划</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_Toc88053861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82</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"_Toc88053862"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6.9.1 加强农村人居环境污染整治</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_Toc88053862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82</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"_Toc88053863"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6.9.2 严防养殖种植污染</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_Toc88053863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83</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"_Toc88053864"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6.9.3 推进美丽乡村建设</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_Toc88053864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84</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"_Toc88053865"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 xml:space="preserve">6.10 </w:t>
      </w:r>
      <w:r>
        <w:rPr>
          <w:rStyle w:val="23"/>
          <w:rFonts w:hint="default" w:ascii="Times New Roman" w:hAnsi="Times New Roman" w:eastAsia="楷体_GB2312" w:cs="Times New Roman"/>
          <w:b w:val="0"/>
          <w:bCs w:val="0"/>
          <w:caps w:val="0"/>
        </w:rPr>
        <w:t>环境风险防控规划</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_Toc88053865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86</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"_Toc88053866"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6.10.1 强化源头环境风险管控</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_Toc88053866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86</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"_Toc88053867"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6.10.2 强化环境风险防范</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_Toc88053867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87</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"_Toc88053868"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6.10.3 提高环境风险管控水平</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_Toc88053868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87</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"_Toc88053869"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6.10.4 保障核与辐射安全</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_Toc88053869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88</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"_Toc88053870"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 xml:space="preserve">6.11 </w:t>
      </w:r>
      <w:r>
        <w:rPr>
          <w:rStyle w:val="23"/>
          <w:rFonts w:hint="default" w:ascii="Times New Roman" w:hAnsi="Times New Roman" w:eastAsia="楷体_GB2312" w:cs="Times New Roman"/>
          <w:b w:val="0"/>
          <w:bCs w:val="0"/>
          <w:caps w:val="0"/>
        </w:rPr>
        <w:t>环境治理体系建设规划</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_Toc88053870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89</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"_Toc88053871"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6.11.1 健全环境治理领导责任体系</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_Toc88053871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89</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"_Toc88053872"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6.11.2 健全环境治理法规政策体系</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_Toc88053872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90</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"_Toc88053873"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6.11.3 健全环境治理企业责任体系</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_Toc88053873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92</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"_Toc88053874"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6.11.4 健全环境治理市场体系</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_Toc88053874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93</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"_Toc88053875"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6.11.5 健全环境治理信用体系</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_Toc88053875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95</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"_Toc88053876"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6.11.6 健全环境治理监管体系</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_Toc88053876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96</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0"/>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HYPERLINK \l "_Toc88053877" </w:instrText>
      </w:r>
      <w:r>
        <w:rPr>
          <w:rFonts w:hint="default" w:ascii="Times New Roman" w:hAnsi="Times New Roman" w:cs="Times New Roman"/>
          <w:b w:val="0"/>
          <w:bCs w:val="0"/>
          <w:caps w:val="0"/>
        </w:rPr>
        <w:fldChar w:fldCharType="separate"/>
      </w:r>
      <w:r>
        <w:rPr>
          <w:rStyle w:val="23"/>
          <w:rFonts w:hint="default" w:ascii="Times New Roman" w:hAnsi="Times New Roman" w:cs="Times New Roman"/>
          <w:b w:val="0"/>
          <w:bCs w:val="0"/>
          <w:caps w:val="0"/>
        </w:rPr>
        <w:t>6.11.7 健全环境治理全民行动体系</w:t>
      </w:r>
      <w:r>
        <w:rPr>
          <w:rFonts w:hint="default" w:ascii="Times New Roman" w:hAnsi="Times New Roman" w:cs="Times New Roman"/>
          <w:b w:val="0"/>
          <w:bCs w:val="0"/>
          <w:caps w:val="0"/>
        </w:rPr>
        <w:tab/>
      </w:r>
      <w:r>
        <w:rPr>
          <w:rFonts w:hint="default" w:ascii="Times New Roman" w:hAnsi="Times New Roman" w:cs="Times New Roman"/>
          <w:b w:val="0"/>
          <w:bCs w:val="0"/>
          <w:caps w:val="0"/>
        </w:rPr>
        <w:fldChar w:fldCharType="begin"/>
      </w:r>
      <w:r>
        <w:rPr>
          <w:rFonts w:hint="default" w:ascii="Times New Roman" w:hAnsi="Times New Roman" w:cs="Times New Roman"/>
          <w:b w:val="0"/>
          <w:bCs w:val="0"/>
          <w:caps w:val="0"/>
        </w:rPr>
        <w:instrText xml:space="preserve"> PAGEREF _Toc88053877 \h </w:instrText>
      </w:r>
      <w:r>
        <w:rPr>
          <w:rFonts w:hint="default" w:ascii="Times New Roman" w:hAnsi="Times New Roman" w:cs="Times New Roman"/>
          <w:b w:val="0"/>
          <w:bCs w:val="0"/>
          <w:caps w:val="0"/>
        </w:rPr>
        <w:fldChar w:fldCharType="separate"/>
      </w:r>
      <w:r>
        <w:rPr>
          <w:rFonts w:hint="default" w:ascii="Times New Roman" w:hAnsi="Times New Roman" w:cs="Times New Roman"/>
          <w:b w:val="0"/>
          <w:bCs w:val="0"/>
          <w:caps w:val="0"/>
        </w:rPr>
        <w:t>98</w:t>
      </w:r>
      <w:r>
        <w:rPr>
          <w:rFonts w:hint="default" w:ascii="Times New Roman" w:hAnsi="Times New Roman" w:cs="Times New Roman"/>
          <w:b w:val="0"/>
          <w:bCs w:val="0"/>
          <w:caps w:val="0"/>
        </w:rPr>
        <w:fldChar w:fldCharType="end"/>
      </w:r>
      <w:r>
        <w:rPr>
          <w:rFonts w:hint="default" w:ascii="Times New Roman" w:hAnsi="Times New Roman" w:cs="Times New Roman"/>
          <w:b w:val="0"/>
          <w:bCs w:val="0"/>
          <w:caps w:val="0"/>
        </w:rPr>
        <w:fldChar w:fldCharType="end"/>
      </w:r>
    </w:p>
    <w:p>
      <w:pPr>
        <w:pStyle w:val="14"/>
        <w:widowControl w:val="0"/>
        <w:wordWrap/>
        <w:adjustRightInd/>
        <w:snapToGrid/>
        <w:spacing w:line="240" w:lineRule="auto"/>
        <w:jc w:val="both"/>
        <w:textAlignment w:val="auto"/>
        <w:rPr>
          <w:rFonts w:hint="default" w:ascii="Times New Roman" w:hAnsi="Times New Roman" w:eastAsia="黑体" w:cs="Times New Roman"/>
          <w:b w:val="0"/>
          <w:bCs w:val="0"/>
          <w:caps w:val="0"/>
          <w:szCs w:val="22"/>
        </w:rPr>
      </w:pPr>
      <w:r>
        <w:rPr>
          <w:rFonts w:hint="default" w:ascii="Times New Roman" w:hAnsi="Times New Roman" w:eastAsia="黑体" w:cs="Times New Roman"/>
          <w:b w:val="0"/>
          <w:bCs w:val="0"/>
          <w:caps w:val="0"/>
        </w:rPr>
        <w:fldChar w:fldCharType="begin"/>
      </w:r>
      <w:r>
        <w:rPr>
          <w:rFonts w:hint="default" w:ascii="Times New Roman" w:hAnsi="Times New Roman" w:eastAsia="黑体" w:cs="Times New Roman"/>
          <w:b w:val="0"/>
          <w:bCs w:val="0"/>
          <w:caps w:val="0"/>
        </w:rPr>
        <w:instrText xml:space="preserve"> HYPERLINK \l "_Toc88053878" </w:instrText>
      </w:r>
      <w:r>
        <w:rPr>
          <w:rFonts w:hint="default" w:ascii="Times New Roman" w:hAnsi="Times New Roman" w:eastAsia="黑体" w:cs="Times New Roman"/>
          <w:b w:val="0"/>
          <w:bCs w:val="0"/>
          <w:caps w:val="0"/>
        </w:rPr>
        <w:fldChar w:fldCharType="separate"/>
      </w:r>
      <w:r>
        <w:rPr>
          <w:rStyle w:val="23"/>
          <w:rFonts w:hint="default" w:ascii="Times New Roman" w:hAnsi="Times New Roman" w:eastAsia="黑体" w:cs="Times New Roman"/>
          <w:b w:val="0"/>
          <w:bCs w:val="0"/>
          <w:caps w:val="0"/>
        </w:rPr>
        <w:t>7、重点工程</w:t>
      </w:r>
      <w:r>
        <w:rPr>
          <w:rFonts w:hint="default" w:ascii="Times New Roman" w:hAnsi="Times New Roman" w:eastAsia="黑体" w:cs="Times New Roman"/>
          <w:b w:val="0"/>
          <w:bCs w:val="0"/>
          <w:caps w:val="0"/>
        </w:rPr>
        <w:tab/>
      </w:r>
      <w:r>
        <w:rPr>
          <w:rFonts w:hint="default" w:ascii="Times New Roman" w:hAnsi="Times New Roman" w:eastAsia="黑体" w:cs="Times New Roman"/>
          <w:b w:val="0"/>
          <w:bCs w:val="0"/>
          <w:caps w:val="0"/>
        </w:rPr>
        <w:fldChar w:fldCharType="begin"/>
      </w:r>
      <w:r>
        <w:rPr>
          <w:rFonts w:hint="default" w:ascii="Times New Roman" w:hAnsi="Times New Roman" w:eastAsia="黑体" w:cs="Times New Roman"/>
          <w:b w:val="0"/>
          <w:bCs w:val="0"/>
          <w:caps w:val="0"/>
        </w:rPr>
        <w:instrText xml:space="preserve"> PAGEREF _Toc88053878 \h </w:instrText>
      </w:r>
      <w:r>
        <w:rPr>
          <w:rFonts w:hint="default" w:ascii="Times New Roman" w:hAnsi="Times New Roman" w:eastAsia="黑体" w:cs="Times New Roman"/>
          <w:b w:val="0"/>
          <w:bCs w:val="0"/>
          <w:caps w:val="0"/>
        </w:rPr>
        <w:fldChar w:fldCharType="separate"/>
      </w:r>
      <w:r>
        <w:rPr>
          <w:rFonts w:hint="default" w:ascii="Times New Roman" w:hAnsi="Times New Roman" w:eastAsia="黑体" w:cs="Times New Roman"/>
          <w:b w:val="0"/>
          <w:bCs w:val="0"/>
          <w:caps w:val="0"/>
        </w:rPr>
        <w:t>102</w:t>
      </w:r>
      <w:r>
        <w:rPr>
          <w:rFonts w:hint="default" w:ascii="Times New Roman" w:hAnsi="Times New Roman" w:eastAsia="黑体" w:cs="Times New Roman"/>
          <w:b w:val="0"/>
          <w:bCs w:val="0"/>
          <w:caps w:val="0"/>
        </w:rPr>
        <w:fldChar w:fldCharType="end"/>
      </w:r>
      <w:r>
        <w:rPr>
          <w:rFonts w:hint="default" w:ascii="Times New Roman" w:hAnsi="Times New Roman" w:eastAsia="黑体" w:cs="Times New Roman"/>
          <w:b w:val="0"/>
          <w:bCs w:val="0"/>
          <w:caps w:val="0"/>
        </w:rPr>
        <w:fldChar w:fldCharType="end"/>
      </w:r>
    </w:p>
    <w:p>
      <w:pPr>
        <w:pStyle w:val="14"/>
        <w:widowControl w:val="0"/>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eastAsia="黑体" w:cs="Times New Roman"/>
          <w:b w:val="0"/>
          <w:bCs w:val="0"/>
          <w:caps w:val="0"/>
        </w:rPr>
        <w:fldChar w:fldCharType="begin"/>
      </w:r>
      <w:r>
        <w:rPr>
          <w:rFonts w:hint="default" w:ascii="Times New Roman" w:hAnsi="Times New Roman" w:eastAsia="黑体" w:cs="Times New Roman"/>
          <w:b w:val="0"/>
          <w:bCs w:val="0"/>
          <w:caps w:val="0"/>
        </w:rPr>
        <w:instrText xml:space="preserve"> HYPERLINK \l "_Toc88053879" </w:instrText>
      </w:r>
      <w:r>
        <w:rPr>
          <w:rFonts w:hint="default" w:ascii="Times New Roman" w:hAnsi="Times New Roman" w:eastAsia="黑体" w:cs="Times New Roman"/>
          <w:b w:val="0"/>
          <w:bCs w:val="0"/>
          <w:caps w:val="0"/>
        </w:rPr>
        <w:fldChar w:fldCharType="separate"/>
      </w:r>
      <w:r>
        <w:rPr>
          <w:rStyle w:val="23"/>
          <w:rFonts w:hint="default" w:ascii="Times New Roman" w:hAnsi="Times New Roman" w:eastAsia="黑体" w:cs="Times New Roman"/>
          <w:b w:val="0"/>
          <w:bCs w:val="0"/>
          <w:caps w:val="0"/>
        </w:rPr>
        <w:t>8、保障措施</w:t>
      </w:r>
      <w:r>
        <w:rPr>
          <w:rFonts w:hint="default" w:ascii="Times New Roman" w:hAnsi="Times New Roman" w:eastAsia="黑体" w:cs="Times New Roman"/>
          <w:b w:val="0"/>
          <w:bCs w:val="0"/>
          <w:caps w:val="0"/>
        </w:rPr>
        <w:tab/>
      </w:r>
      <w:r>
        <w:rPr>
          <w:rFonts w:hint="default" w:ascii="Times New Roman" w:hAnsi="Times New Roman" w:eastAsia="黑体" w:cs="Times New Roman"/>
          <w:b w:val="0"/>
          <w:bCs w:val="0"/>
          <w:caps w:val="0"/>
        </w:rPr>
        <w:fldChar w:fldCharType="begin"/>
      </w:r>
      <w:r>
        <w:rPr>
          <w:rFonts w:hint="default" w:ascii="Times New Roman" w:hAnsi="Times New Roman" w:eastAsia="黑体" w:cs="Times New Roman"/>
          <w:b w:val="0"/>
          <w:bCs w:val="0"/>
          <w:caps w:val="0"/>
        </w:rPr>
        <w:instrText xml:space="preserve"> PAGEREF _Toc88053879 \h </w:instrText>
      </w:r>
      <w:r>
        <w:rPr>
          <w:rFonts w:hint="default" w:ascii="Times New Roman" w:hAnsi="Times New Roman" w:eastAsia="黑体" w:cs="Times New Roman"/>
          <w:b w:val="0"/>
          <w:bCs w:val="0"/>
          <w:caps w:val="0"/>
        </w:rPr>
        <w:fldChar w:fldCharType="separate"/>
      </w:r>
      <w:r>
        <w:rPr>
          <w:rFonts w:hint="default" w:ascii="Times New Roman" w:hAnsi="Times New Roman" w:eastAsia="黑体" w:cs="Times New Roman"/>
          <w:b w:val="0"/>
          <w:bCs w:val="0"/>
          <w:caps w:val="0"/>
        </w:rPr>
        <w:t>107</w:t>
      </w:r>
      <w:r>
        <w:rPr>
          <w:rFonts w:hint="default" w:ascii="Times New Roman" w:hAnsi="Times New Roman" w:eastAsia="黑体" w:cs="Times New Roman"/>
          <w:b w:val="0"/>
          <w:bCs w:val="0"/>
          <w:caps w:val="0"/>
        </w:rPr>
        <w:fldChar w:fldCharType="end"/>
      </w:r>
      <w:r>
        <w:rPr>
          <w:rFonts w:hint="default" w:ascii="Times New Roman" w:hAnsi="Times New Roman" w:eastAsia="黑体"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楷体_GB2312" w:cs="Times New Roman"/>
          <w:b w:val="0"/>
          <w:bCs w:val="0"/>
          <w:caps w:val="0"/>
          <w:szCs w:val="22"/>
        </w:rPr>
      </w:pP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HYPERLINK \l "_Toc88053880" </w:instrText>
      </w:r>
      <w:r>
        <w:rPr>
          <w:rFonts w:hint="default" w:ascii="Times New Roman" w:hAnsi="Times New Roman" w:eastAsia="楷体_GB2312" w:cs="Times New Roman"/>
          <w:b w:val="0"/>
          <w:bCs w:val="0"/>
          <w:caps w:val="0"/>
        </w:rPr>
        <w:fldChar w:fldCharType="separate"/>
      </w:r>
      <w:r>
        <w:rPr>
          <w:rStyle w:val="23"/>
          <w:rFonts w:hint="default" w:ascii="Times New Roman" w:hAnsi="Times New Roman" w:eastAsia="楷体_GB2312" w:cs="Times New Roman"/>
          <w:b w:val="0"/>
          <w:bCs w:val="0"/>
          <w:caps w:val="0"/>
        </w:rPr>
        <w:t>8.1 制度保障</w:t>
      </w:r>
      <w:r>
        <w:rPr>
          <w:rFonts w:hint="default" w:ascii="Times New Roman" w:hAnsi="Times New Roman" w:eastAsia="楷体_GB2312" w:cs="Times New Roman"/>
          <w:b w:val="0"/>
          <w:bCs w:val="0"/>
          <w:caps w:val="0"/>
        </w:rPr>
        <w:tab/>
      </w: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PAGEREF _Toc88053880 \h </w:instrText>
      </w:r>
      <w:r>
        <w:rPr>
          <w:rFonts w:hint="default" w:ascii="Times New Roman" w:hAnsi="Times New Roman" w:eastAsia="楷体_GB2312" w:cs="Times New Roman"/>
          <w:b w:val="0"/>
          <w:bCs w:val="0"/>
          <w:caps w:val="0"/>
        </w:rPr>
        <w:fldChar w:fldCharType="separate"/>
      </w:r>
      <w:r>
        <w:rPr>
          <w:rFonts w:hint="default" w:ascii="Times New Roman" w:hAnsi="Times New Roman" w:eastAsia="楷体_GB2312" w:cs="Times New Roman"/>
          <w:b w:val="0"/>
          <w:bCs w:val="0"/>
          <w:caps w:val="0"/>
        </w:rPr>
        <w:t>107</w:t>
      </w:r>
      <w:r>
        <w:rPr>
          <w:rFonts w:hint="default" w:ascii="Times New Roman" w:hAnsi="Times New Roman" w:eastAsia="楷体_GB2312" w:cs="Times New Roman"/>
          <w:b w:val="0"/>
          <w:bCs w:val="0"/>
          <w:caps w:val="0"/>
        </w:rPr>
        <w:fldChar w:fldCharType="end"/>
      </w:r>
      <w:r>
        <w:rPr>
          <w:rFonts w:hint="default" w:ascii="Times New Roman" w:hAnsi="Times New Roman" w:eastAsia="楷体_GB2312"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楷体_GB2312" w:cs="Times New Roman"/>
          <w:b w:val="0"/>
          <w:bCs w:val="0"/>
          <w:caps w:val="0"/>
          <w:szCs w:val="22"/>
        </w:rPr>
      </w:pP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HYPERLINK \l "_Toc88053881" </w:instrText>
      </w:r>
      <w:r>
        <w:rPr>
          <w:rFonts w:hint="default" w:ascii="Times New Roman" w:hAnsi="Times New Roman" w:eastAsia="楷体_GB2312" w:cs="Times New Roman"/>
          <w:b w:val="0"/>
          <w:bCs w:val="0"/>
          <w:caps w:val="0"/>
        </w:rPr>
        <w:fldChar w:fldCharType="separate"/>
      </w:r>
      <w:r>
        <w:rPr>
          <w:rStyle w:val="23"/>
          <w:rFonts w:hint="default" w:ascii="Times New Roman" w:hAnsi="Times New Roman" w:eastAsia="楷体_GB2312" w:cs="Times New Roman"/>
          <w:b w:val="0"/>
          <w:bCs w:val="0"/>
          <w:caps w:val="0"/>
        </w:rPr>
        <w:t>8.2 组织保障</w:t>
      </w:r>
      <w:r>
        <w:rPr>
          <w:rFonts w:hint="default" w:ascii="Times New Roman" w:hAnsi="Times New Roman" w:eastAsia="楷体_GB2312" w:cs="Times New Roman"/>
          <w:b w:val="0"/>
          <w:bCs w:val="0"/>
          <w:caps w:val="0"/>
        </w:rPr>
        <w:tab/>
      </w: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PAGEREF _Toc88053881 \h </w:instrText>
      </w:r>
      <w:r>
        <w:rPr>
          <w:rFonts w:hint="default" w:ascii="Times New Roman" w:hAnsi="Times New Roman" w:eastAsia="楷体_GB2312" w:cs="Times New Roman"/>
          <w:b w:val="0"/>
          <w:bCs w:val="0"/>
          <w:caps w:val="0"/>
        </w:rPr>
        <w:fldChar w:fldCharType="separate"/>
      </w:r>
      <w:r>
        <w:rPr>
          <w:rFonts w:hint="default" w:ascii="Times New Roman" w:hAnsi="Times New Roman" w:eastAsia="楷体_GB2312" w:cs="Times New Roman"/>
          <w:b w:val="0"/>
          <w:bCs w:val="0"/>
          <w:caps w:val="0"/>
        </w:rPr>
        <w:t>108</w:t>
      </w:r>
      <w:r>
        <w:rPr>
          <w:rFonts w:hint="default" w:ascii="Times New Roman" w:hAnsi="Times New Roman" w:eastAsia="楷体_GB2312" w:cs="Times New Roman"/>
          <w:b w:val="0"/>
          <w:bCs w:val="0"/>
          <w:caps w:val="0"/>
        </w:rPr>
        <w:fldChar w:fldCharType="end"/>
      </w:r>
      <w:r>
        <w:rPr>
          <w:rFonts w:hint="default" w:ascii="Times New Roman" w:hAnsi="Times New Roman" w:eastAsia="楷体_GB2312"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楷体_GB2312" w:cs="Times New Roman"/>
          <w:b w:val="0"/>
          <w:bCs w:val="0"/>
          <w:caps w:val="0"/>
          <w:szCs w:val="22"/>
        </w:rPr>
      </w:pP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HYPERLINK \l "_Toc88053882" </w:instrText>
      </w:r>
      <w:r>
        <w:rPr>
          <w:rFonts w:hint="default" w:ascii="Times New Roman" w:hAnsi="Times New Roman" w:eastAsia="楷体_GB2312" w:cs="Times New Roman"/>
          <w:b w:val="0"/>
          <w:bCs w:val="0"/>
          <w:caps w:val="0"/>
        </w:rPr>
        <w:fldChar w:fldCharType="separate"/>
      </w:r>
      <w:r>
        <w:rPr>
          <w:rStyle w:val="23"/>
          <w:rFonts w:hint="default" w:ascii="Times New Roman" w:hAnsi="Times New Roman" w:eastAsia="楷体_GB2312" w:cs="Times New Roman"/>
          <w:b w:val="0"/>
          <w:bCs w:val="0"/>
          <w:caps w:val="0"/>
        </w:rPr>
        <w:t>8.3 资金保障</w:t>
      </w:r>
      <w:r>
        <w:rPr>
          <w:rFonts w:hint="default" w:ascii="Times New Roman" w:hAnsi="Times New Roman" w:eastAsia="楷体_GB2312" w:cs="Times New Roman"/>
          <w:b w:val="0"/>
          <w:bCs w:val="0"/>
          <w:caps w:val="0"/>
        </w:rPr>
        <w:tab/>
      </w: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PAGEREF _Toc88053882 \h </w:instrText>
      </w:r>
      <w:r>
        <w:rPr>
          <w:rFonts w:hint="default" w:ascii="Times New Roman" w:hAnsi="Times New Roman" w:eastAsia="楷体_GB2312" w:cs="Times New Roman"/>
          <w:b w:val="0"/>
          <w:bCs w:val="0"/>
          <w:caps w:val="0"/>
        </w:rPr>
        <w:fldChar w:fldCharType="separate"/>
      </w:r>
      <w:r>
        <w:rPr>
          <w:rFonts w:hint="default" w:ascii="Times New Roman" w:hAnsi="Times New Roman" w:eastAsia="楷体_GB2312" w:cs="Times New Roman"/>
          <w:b w:val="0"/>
          <w:bCs w:val="0"/>
          <w:caps w:val="0"/>
        </w:rPr>
        <w:t>108</w:t>
      </w:r>
      <w:r>
        <w:rPr>
          <w:rFonts w:hint="default" w:ascii="Times New Roman" w:hAnsi="Times New Roman" w:eastAsia="楷体_GB2312" w:cs="Times New Roman"/>
          <w:b w:val="0"/>
          <w:bCs w:val="0"/>
          <w:caps w:val="0"/>
        </w:rPr>
        <w:fldChar w:fldCharType="end"/>
      </w:r>
      <w:r>
        <w:rPr>
          <w:rFonts w:hint="default" w:ascii="Times New Roman" w:hAnsi="Times New Roman" w:eastAsia="楷体_GB2312" w:cs="Times New Roman"/>
          <w:b w:val="0"/>
          <w:bCs w:val="0"/>
          <w:caps w:val="0"/>
        </w:rPr>
        <w:fldChar w:fldCharType="end"/>
      </w:r>
    </w:p>
    <w:p>
      <w:pPr>
        <w:pStyle w:val="18"/>
        <w:widowControl w:val="0"/>
        <w:tabs>
          <w:tab w:val="right" w:leader="dot" w:pos="8296"/>
        </w:tabs>
        <w:wordWrap/>
        <w:adjustRightInd/>
        <w:snapToGrid/>
        <w:spacing w:line="240" w:lineRule="auto"/>
        <w:jc w:val="both"/>
        <w:textAlignment w:val="auto"/>
        <w:rPr>
          <w:rFonts w:hint="default" w:ascii="Times New Roman" w:hAnsi="Times New Roman" w:eastAsia="等线" w:cs="Times New Roman"/>
          <w:b w:val="0"/>
          <w:bCs w:val="0"/>
          <w:caps w:val="0"/>
          <w:szCs w:val="22"/>
        </w:rPr>
      </w:pP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HYPERLINK \l "_Toc88053883" </w:instrText>
      </w:r>
      <w:r>
        <w:rPr>
          <w:rFonts w:hint="default" w:ascii="Times New Roman" w:hAnsi="Times New Roman" w:eastAsia="楷体_GB2312" w:cs="Times New Roman"/>
          <w:b w:val="0"/>
          <w:bCs w:val="0"/>
          <w:caps w:val="0"/>
        </w:rPr>
        <w:fldChar w:fldCharType="separate"/>
      </w:r>
      <w:r>
        <w:rPr>
          <w:rStyle w:val="23"/>
          <w:rFonts w:hint="default" w:ascii="Times New Roman" w:hAnsi="Times New Roman" w:eastAsia="楷体_GB2312" w:cs="Times New Roman"/>
          <w:b w:val="0"/>
          <w:bCs w:val="0"/>
          <w:caps w:val="0"/>
        </w:rPr>
        <w:t>8.4 社会保障</w:t>
      </w:r>
      <w:r>
        <w:rPr>
          <w:rFonts w:hint="default" w:ascii="Times New Roman" w:hAnsi="Times New Roman" w:eastAsia="楷体_GB2312" w:cs="Times New Roman"/>
          <w:b w:val="0"/>
          <w:bCs w:val="0"/>
          <w:caps w:val="0"/>
        </w:rPr>
        <w:tab/>
      </w:r>
      <w:r>
        <w:rPr>
          <w:rFonts w:hint="default" w:ascii="Times New Roman" w:hAnsi="Times New Roman" w:eastAsia="楷体_GB2312" w:cs="Times New Roman"/>
          <w:b w:val="0"/>
          <w:bCs w:val="0"/>
          <w:caps w:val="0"/>
        </w:rPr>
        <w:fldChar w:fldCharType="begin"/>
      </w:r>
      <w:r>
        <w:rPr>
          <w:rFonts w:hint="default" w:ascii="Times New Roman" w:hAnsi="Times New Roman" w:eastAsia="楷体_GB2312" w:cs="Times New Roman"/>
          <w:b w:val="0"/>
          <w:bCs w:val="0"/>
          <w:caps w:val="0"/>
        </w:rPr>
        <w:instrText xml:space="preserve"> PAGEREF _Toc88053883 \h </w:instrText>
      </w:r>
      <w:r>
        <w:rPr>
          <w:rFonts w:hint="default" w:ascii="Times New Roman" w:hAnsi="Times New Roman" w:eastAsia="楷体_GB2312" w:cs="Times New Roman"/>
          <w:b w:val="0"/>
          <w:bCs w:val="0"/>
          <w:caps w:val="0"/>
        </w:rPr>
        <w:fldChar w:fldCharType="separate"/>
      </w:r>
      <w:r>
        <w:rPr>
          <w:rFonts w:hint="default" w:ascii="Times New Roman" w:hAnsi="Times New Roman" w:eastAsia="楷体_GB2312" w:cs="Times New Roman"/>
          <w:b w:val="0"/>
          <w:bCs w:val="0"/>
          <w:caps w:val="0"/>
        </w:rPr>
        <w:t>108</w:t>
      </w:r>
      <w:r>
        <w:rPr>
          <w:rFonts w:hint="default" w:ascii="Times New Roman" w:hAnsi="Times New Roman" w:eastAsia="楷体_GB2312" w:cs="Times New Roman"/>
          <w:b w:val="0"/>
          <w:bCs w:val="0"/>
          <w:caps w:val="0"/>
        </w:rPr>
        <w:fldChar w:fldCharType="end"/>
      </w:r>
      <w:r>
        <w:rPr>
          <w:rFonts w:hint="default" w:ascii="Times New Roman" w:hAnsi="Times New Roman" w:eastAsia="楷体_GB2312" w:cs="Times New Roman"/>
          <w:b w:val="0"/>
          <w:bCs w:val="0"/>
          <w:caps w:val="0"/>
        </w:rPr>
        <w:fldChar w:fldCharType="end"/>
      </w:r>
    </w:p>
    <w:p>
      <w:pPr>
        <w:widowControl w:val="0"/>
        <w:wordWrap/>
        <w:snapToGrid/>
        <w:spacing w:line="240" w:lineRule="auto"/>
        <w:textAlignment w:val="auto"/>
        <w:rPr>
          <w:rFonts w:ascii="Times New Roman" w:hAnsi="Times New Roman"/>
          <w:caps w:val="0"/>
        </w:rPr>
      </w:pPr>
      <w:r>
        <w:rPr>
          <w:rFonts w:hint="default" w:ascii="Times New Roman" w:hAnsi="Times New Roman" w:cs="Times New Roman"/>
          <w:b w:val="0"/>
          <w:bCs w:val="0"/>
          <w:caps w:val="0"/>
          <w:sz w:val="24"/>
        </w:rPr>
        <w:fldChar w:fldCharType="end"/>
      </w:r>
    </w:p>
    <w:p>
      <w:pPr>
        <w:rPr>
          <w:rFonts w:ascii="Times New Roman" w:hAnsi="Times New Roman"/>
        </w:rPr>
        <w:sectPr>
          <w:headerReference r:id="rId6" w:type="first"/>
          <w:footerReference r:id="rId9" w:type="first"/>
          <w:headerReference r:id="rId5" w:type="default"/>
          <w:footerReference r:id="rId7" w:type="default"/>
          <w:footerReference r:id="rId8" w:type="even"/>
          <w:pgSz w:w="11906" w:h="16838"/>
          <w:pgMar w:top="2098" w:right="1474" w:bottom="1984" w:left="1587" w:header="851" w:footer="1531" w:gutter="0"/>
          <w:pgNumType w:fmt="decimal" w:start="2"/>
          <w:cols w:space="720" w:num="1"/>
          <w:rtlGutter w:val="0"/>
          <w:docGrid w:type="linesAndChars" w:linePitch="579" w:charSpace="-842"/>
        </w:sectPr>
      </w:pPr>
    </w:p>
    <w:p>
      <w:pPr>
        <w:pStyle w:val="3"/>
        <w:keepNext/>
        <w:keepLines/>
        <w:widowControl w:val="0"/>
        <w:wordWrap/>
        <w:adjustRightInd/>
        <w:snapToGrid w:val="0"/>
        <w:spacing w:beforeLines="50" w:afterLines="50" w:line="560" w:lineRule="exact"/>
        <w:ind w:firstLine="632" w:firstLineChars="200"/>
        <w:jc w:val="both"/>
        <w:textAlignment w:val="auto"/>
        <w:rPr>
          <w:rFonts w:hint="eastAsia" w:ascii="Times New Roman" w:hAnsi="Times New Roman" w:eastAsia="黑体" w:cs="黑体"/>
          <w:b w:val="0"/>
          <w:bCs w:val="0"/>
          <w:caps w:val="0"/>
          <w:sz w:val="32"/>
          <w:szCs w:val="32"/>
        </w:rPr>
      </w:pPr>
      <w:bookmarkStart w:id="0" w:name="_Toc144701655"/>
      <w:bookmarkStart w:id="1" w:name="_Toc88053782"/>
      <w:r>
        <w:rPr>
          <w:rFonts w:hint="eastAsia" w:eastAsia="黑体" w:cs="黑体"/>
          <w:b w:val="0"/>
          <w:bCs w:val="0"/>
          <w:caps w:val="0"/>
          <w:sz w:val="32"/>
          <w:szCs w:val="32"/>
          <w:lang w:val="en-US" w:eastAsia="zh-CN"/>
        </w:rPr>
        <w:t>1</w:t>
      </w:r>
      <w:r>
        <w:rPr>
          <w:rFonts w:hint="eastAsia" w:ascii="Times New Roman" w:hAnsi="Times New Roman" w:eastAsia="黑体" w:cs="黑体"/>
          <w:b w:val="0"/>
          <w:bCs w:val="0"/>
          <w:caps w:val="0"/>
          <w:sz w:val="32"/>
          <w:szCs w:val="32"/>
        </w:rPr>
        <w:t>、总则</w:t>
      </w:r>
      <w:bookmarkEnd w:id="0"/>
      <w:bookmarkEnd w:id="1"/>
    </w:p>
    <w:p>
      <w:pPr>
        <w:pStyle w:val="4"/>
        <w:keepNext/>
        <w:keepLines/>
        <w:widowControl w:val="0"/>
        <w:wordWrap/>
        <w:adjustRightInd/>
        <w:snapToGrid/>
        <w:spacing w:beforeLines="50" w:afterLines="50" w:line="240" w:lineRule="auto"/>
        <w:ind w:firstLine="632" w:firstLineChars="200"/>
        <w:jc w:val="both"/>
        <w:textAlignment w:val="auto"/>
        <w:rPr>
          <w:rFonts w:hint="eastAsia" w:ascii="Times New Roman" w:hAnsi="Times New Roman" w:eastAsia="楷体_GB2312" w:cs="楷体_GB2312"/>
          <w:b w:val="0"/>
          <w:bCs w:val="0"/>
          <w:caps w:val="0"/>
          <w:sz w:val="32"/>
          <w:szCs w:val="32"/>
        </w:rPr>
      </w:pPr>
      <w:bookmarkStart w:id="2" w:name="_Toc88053783"/>
      <w:r>
        <w:rPr>
          <w:rFonts w:hint="eastAsia" w:ascii="Times New Roman" w:hAnsi="Times New Roman" w:eastAsia="楷体_GB2312" w:cs="楷体_GB2312"/>
          <w:b w:val="0"/>
          <w:bCs w:val="0"/>
          <w:caps w:val="0"/>
          <w:sz w:val="32"/>
          <w:szCs w:val="32"/>
        </w:rPr>
        <w:t>1.1规划修编的必要性</w:t>
      </w:r>
      <w:bookmarkEnd w:id="2"/>
    </w:p>
    <w:p>
      <w:pPr>
        <w:widowControl w:val="0"/>
        <w:wordWrap/>
        <w:adjustRightInd/>
        <w:snapToGrid/>
        <w:spacing w:line="600" w:lineRule="exact"/>
        <w:ind w:firstLine="632" w:firstLineChars="200"/>
        <w:jc w:val="both"/>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2013年以来，花都区经济社会发展水平大幅提升，但经济社会发展不平衡、不协调、不可持续的问题仍然突出，多阶段、多领域、多类型生态环境问题交织，生态环境</w:t>
      </w:r>
      <w:r>
        <w:rPr>
          <w:rFonts w:hint="eastAsia" w:cs="仿宋_GB2312"/>
          <w:caps w:val="0"/>
          <w:sz w:val="32"/>
          <w:szCs w:val="32"/>
          <w:lang w:eastAsia="zh-CN"/>
        </w:rPr>
        <w:t>质量和水平</w:t>
      </w:r>
      <w:r>
        <w:rPr>
          <w:rFonts w:hint="eastAsia" w:ascii="Times New Roman" w:hAnsi="Times New Roman" w:eastAsia="仿宋_GB2312" w:cs="仿宋_GB2312"/>
          <w:caps w:val="0"/>
          <w:sz w:val="32"/>
          <w:szCs w:val="32"/>
        </w:rPr>
        <w:t>与人民群众需求和期待差距较大，提高环境质量，加强生态环境综合治理，加快补齐生态环境短板，是花都区未来发展的核心任务之一。</w:t>
      </w:r>
    </w:p>
    <w:p>
      <w:pPr>
        <w:widowControl w:val="0"/>
        <w:wordWrap/>
        <w:adjustRightInd/>
        <w:snapToGrid/>
        <w:spacing w:line="600" w:lineRule="exact"/>
        <w:ind w:firstLine="632" w:firstLineChars="200"/>
        <w:jc w:val="both"/>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根据《广东省环境保护条例》（2019年修订），地级以上市、县级生态环境主管部门应当根据上级人民政府批准的环境保护规划和本行政区域的环境状况，会同有关部门编制本行政区域的环境保护规划和小区域环境保护规划</w:t>
      </w:r>
      <w:r>
        <w:rPr>
          <w:rFonts w:hint="eastAsia" w:cs="仿宋_GB2312"/>
          <w:caps w:val="0"/>
          <w:sz w:val="32"/>
          <w:szCs w:val="32"/>
          <w:lang w:eastAsia="zh-CN"/>
        </w:rPr>
        <w:t>。</w:t>
      </w:r>
      <w:r>
        <w:rPr>
          <w:rFonts w:hint="eastAsia" w:ascii="Times New Roman" w:hAnsi="Times New Roman" w:eastAsia="仿宋_GB2312" w:cs="仿宋_GB2312"/>
          <w:caps w:val="0"/>
          <w:sz w:val="32"/>
          <w:szCs w:val="32"/>
        </w:rPr>
        <w:t>《广州市花都区环境保护规划（2013</w:t>
      </w:r>
      <w:r>
        <w:rPr>
          <w:rFonts w:hint="eastAsia" w:cs="仿宋_GB2312"/>
          <w:caps w:val="0"/>
          <w:sz w:val="32"/>
          <w:szCs w:val="32"/>
          <w:lang w:eastAsia="zh-CN"/>
        </w:rPr>
        <w:t>—</w:t>
      </w:r>
      <w:r>
        <w:rPr>
          <w:rFonts w:hint="eastAsia" w:ascii="Times New Roman" w:hAnsi="Times New Roman" w:eastAsia="仿宋_GB2312" w:cs="仿宋_GB2312"/>
          <w:caps w:val="0"/>
          <w:sz w:val="32"/>
          <w:szCs w:val="32"/>
        </w:rPr>
        <w:t>2020年）》已于2020年到期，为促进花都区经济结构调整，推进全面协调可持续发展，开展花都区新一轮生态环境保护规划的编制</w:t>
      </w:r>
      <w:r>
        <w:rPr>
          <w:rFonts w:hint="eastAsia" w:cs="仿宋_GB2312"/>
          <w:caps w:val="0"/>
          <w:sz w:val="32"/>
          <w:szCs w:val="32"/>
          <w:lang w:eastAsia="zh-CN"/>
        </w:rPr>
        <w:t>意义重大</w:t>
      </w:r>
      <w:r>
        <w:rPr>
          <w:rFonts w:hint="eastAsia" w:ascii="Times New Roman" w:hAnsi="Times New Roman" w:eastAsia="仿宋_GB2312" w:cs="仿宋_GB2312"/>
          <w:caps w:val="0"/>
          <w:sz w:val="32"/>
          <w:szCs w:val="32"/>
        </w:rPr>
        <w:t>。</w:t>
      </w:r>
    </w:p>
    <w:p>
      <w:pPr>
        <w:widowControl w:val="0"/>
        <w:wordWrap/>
        <w:snapToGrid/>
        <w:spacing w:line="240" w:lineRule="auto"/>
        <w:ind w:firstLine="632" w:firstLineChars="200"/>
        <w:jc w:val="both"/>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《广州市城市环境总体规划（2014</w:t>
      </w:r>
      <w:r>
        <w:rPr>
          <w:rFonts w:hint="eastAsia" w:cs="仿宋_GB2312"/>
          <w:caps w:val="0"/>
          <w:sz w:val="32"/>
          <w:szCs w:val="32"/>
          <w:lang w:eastAsia="zh-CN"/>
        </w:rPr>
        <w:t>—</w:t>
      </w:r>
      <w:r>
        <w:rPr>
          <w:rFonts w:hint="eastAsia" w:ascii="Times New Roman" w:hAnsi="Times New Roman" w:eastAsia="仿宋_GB2312" w:cs="仿宋_GB2312"/>
          <w:caps w:val="0"/>
          <w:sz w:val="32"/>
          <w:szCs w:val="32"/>
        </w:rPr>
        <w:t>2030年）》（</w:t>
      </w:r>
      <w:r>
        <w:rPr>
          <w:rFonts w:hint="eastAsia" w:cs="仿宋_GB2312"/>
          <w:caps w:val="0"/>
          <w:sz w:val="32"/>
          <w:szCs w:val="32"/>
          <w:lang w:eastAsia="zh-CN"/>
        </w:rPr>
        <w:t>以下</w:t>
      </w:r>
      <w:r>
        <w:rPr>
          <w:rFonts w:hint="eastAsia" w:ascii="Times New Roman" w:hAnsi="Times New Roman" w:eastAsia="仿宋_GB2312" w:cs="仿宋_GB2312"/>
          <w:caps w:val="0"/>
          <w:sz w:val="32"/>
          <w:szCs w:val="32"/>
        </w:rPr>
        <w:t>简称《城环总规》）已于2017年2月5日正式发布实施。作为指导广州市开展环境保护和生态建设的战略性、纲领性文件，《城环总规》是提升城市生态环境，确立我市生态环境安全格局的需求，是促进我市生态环境建设与保护的迫切要求，是健全城市环境规划制度的重要环节。因此，有必要编制花都区新一轮生态环境保护规划，以细化落实《城环总规》对花都区在环境资源承载力分区调控、环境空间管控、系统环境治理、环境风险防范、环境公共服务等方面的要求。</w:t>
      </w:r>
    </w:p>
    <w:p>
      <w:pPr>
        <w:widowControl w:val="0"/>
        <w:wordWrap/>
        <w:snapToGrid/>
        <w:spacing w:line="240" w:lineRule="auto"/>
        <w:ind w:firstLine="632" w:firstLineChars="200"/>
        <w:jc w:val="both"/>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根据十三届全国人大一次会议审议通过的国务院机构改革方案，新组建生态环境部，整合了原环境保护部的职责并把原来分散的污染防治和生态保护职责统一起来。根据《广东省机构改革方案》，广东省组建省生态环境厅，不再保留省环境保护厅。同时，根据《广州市机构改革方案》，广州市将原市环境保护局的职责同其他相关部门生态环境保护职责等整合，组建市生态环境局。因此，有必要因应新时代生态环境保护的工作要求，根据花都区的实际情况编制生态环境保护规划。</w:t>
      </w:r>
    </w:p>
    <w:p>
      <w:pPr>
        <w:pStyle w:val="4"/>
        <w:keepNext/>
        <w:keepLines/>
        <w:widowControl w:val="0"/>
        <w:wordWrap/>
        <w:adjustRightInd/>
        <w:snapToGrid/>
        <w:spacing w:beforeLines="50" w:afterLines="50" w:line="240" w:lineRule="auto"/>
        <w:ind w:firstLine="632" w:firstLineChars="200"/>
        <w:jc w:val="both"/>
        <w:textAlignment w:val="auto"/>
        <w:rPr>
          <w:rFonts w:ascii="Times New Roman" w:hAnsi="Times New Roman" w:eastAsia="宋体"/>
          <w:caps w:val="0"/>
          <w:sz w:val="32"/>
          <w:szCs w:val="32"/>
        </w:rPr>
      </w:pPr>
      <w:bookmarkStart w:id="3" w:name="_Toc88053784"/>
      <w:r>
        <w:rPr>
          <w:rFonts w:hint="eastAsia" w:ascii="Times New Roman" w:hAnsi="Times New Roman" w:eastAsia="楷体_GB2312" w:cs="楷体_GB2312"/>
          <w:b w:val="0"/>
          <w:bCs w:val="0"/>
          <w:caps w:val="0"/>
          <w:sz w:val="32"/>
          <w:szCs w:val="32"/>
        </w:rPr>
        <w:t>1.2指导思想</w:t>
      </w:r>
      <w:bookmarkEnd w:id="3"/>
    </w:p>
    <w:p>
      <w:pPr>
        <w:widowControl w:val="0"/>
        <w:wordWrap/>
        <w:snapToGrid/>
        <w:spacing w:line="240" w:lineRule="auto"/>
        <w:ind w:firstLine="632" w:firstLineChars="200"/>
        <w:jc w:val="both"/>
        <w:textAlignment w:val="auto"/>
        <w:rPr>
          <w:rFonts w:ascii="Times New Roman" w:hAnsi="Times New Roman"/>
          <w:caps w:val="0"/>
          <w:sz w:val="32"/>
          <w:szCs w:val="32"/>
        </w:rPr>
      </w:pPr>
      <w:bookmarkStart w:id="4" w:name="_Hlk91176119"/>
      <w:r>
        <w:rPr>
          <w:rFonts w:ascii="Times New Roman" w:hAnsi="Times New Roman"/>
          <w:caps w:val="0"/>
          <w:sz w:val="32"/>
          <w:szCs w:val="32"/>
        </w:rPr>
        <w:t>以习近平新时代中国特色社会主义思想为指导，全面贯彻党的十九大和十九届二中、三中、四中、五中</w:t>
      </w:r>
      <w:r>
        <w:rPr>
          <w:rFonts w:hint="eastAsia" w:ascii="Times New Roman" w:hAnsi="Times New Roman"/>
          <w:caps w:val="0"/>
          <w:sz w:val="32"/>
          <w:szCs w:val="32"/>
        </w:rPr>
        <w:t>、六中</w:t>
      </w:r>
      <w:r>
        <w:rPr>
          <w:rFonts w:ascii="Times New Roman" w:hAnsi="Times New Roman"/>
          <w:caps w:val="0"/>
          <w:sz w:val="32"/>
          <w:szCs w:val="32"/>
        </w:rPr>
        <w:t>全会精神，深入贯彻习近平生态文明思想，</w:t>
      </w:r>
      <w:r>
        <w:rPr>
          <w:rFonts w:hint="eastAsia" w:ascii="Times New Roman" w:hAnsi="Times New Roman"/>
          <w:caps w:val="0"/>
          <w:sz w:val="32"/>
          <w:szCs w:val="32"/>
        </w:rPr>
        <w:t>习近平关于</w:t>
      </w:r>
      <w:r>
        <w:rPr>
          <w:rFonts w:hint="eastAsia"/>
          <w:caps w:val="0"/>
          <w:sz w:val="32"/>
          <w:szCs w:val="32"/>
          <w:lang w:eastAsia="zh-CN"/>
        </w:rPr>
        <w:t>树立和践行正确政绩观</w:t>
      </w:r>
      <w:r>
        <w:rPr>
          <w:rFonts w:hint="eastAsia" w:ascii="Times New Roman" w:hAnsi="Times New Roman"/>
          <w:caps w:val="0"/>
          <w:sz w:val="32"/>
          <w:szCs w:val="32"/>
        </w:rPr>
        <w:t>，做好城市工作，加强历史文化保护传承等重要论述以及</w:t>
      </w:r>
      <w:r>
        <w:rPr>
          <w:rFonts w:ascii="Times New Roman" w:hAnsi="Times New Roman"/>
          <w:caps w:val="0"/>
          <w:sz w:val="32"/>
          <w:szCs w:val="32"/>
        </w:rPr>
        <w:t>对广东</w:t>
      </w:r>
      <w:r>
        <w:rPr>
          <w:rFonts w:hint="eastAsia" w:ascii="Times New Roman" w:hAnsi="Times New Roman"/>
          <w:caps w:val="0"/>
          <w:sz w:val="32"/>
          <w:szCs w:val="32"/>
        </w:rPr>
        <w:t>、</w:t>
      </w:r>
      <w:r>
        <w:rPr>
          <w:rFonts w:ascii="Times New Roman" w:hAnsi="Times New Roman"/>
          <w:caps w:val="0"/>
          <w:sz w:val="32"/>
          <w:szCs w:val="32"/>
        </w:rPr>
        <w:t>广州重要指示批示精神，</w:t>
      </w:r>
      <w:r>
        <w:rPr>
          <w:rFonts w:hint="eastAsia" w:ascii="Times New Roman" w:hAnsi="Times New Roman"/>
          <w:caps w:val="0"/>
          <w:sz w:val="32"/>
          <w:szCs w:val="32"/>
        </w:rPr>
        <w:t>坚决</w:t>
      </w:r>
      <w:r>
        <w:rPr>
          <w:rFonts w:ascii="Times New Roman" w:hAnsi="Times New Roman"/>
          <w:caps w:val="0"/>
          <w:sz w:val="32"/>
          <w:szCs w:val="32"/>
        </w:rPr>
        <w:t>贯彻</w:t>
      </w:r>
      <w:r>
        <w:rPr>
          <w:rFonts w:hint="eastAsia" w:ascii="Times New Roman" w:hAnsi="Times New Roman"/>
          <w:caps w:val="0"/>
          <w:sz w:val="32"/>
          <w:szCs w:val="32"/>
        </w:rPr>
        <w:t>落实</w:t>
      </w:r>
      <w:r>
        <w:rPr>
          <w:rFonts w:ascii="Times New Roman" w:hAnsi="Times New Roman"/>
          <w:caps w:val="0"/>
          <w:sz w:val="32"/>
          <w:szCs w:val="32"/>
        </w:rPr>
        <w:t>新发展理念，</w:t>
      </w:r>
      <w:r>
        <w:rPr>
          <w:rFonts w:hint="eastAsia" w:ascii="Times New Roman" w:hAnsi="Times New Roman"/>
          <w:caps w:val="0"/>
          <w:sz w:val="32"/>
          <w:szCs w:val="32"/>
        </w:rPr>
        <w:t>践行以人民为中心的发展思想，尊重城市发展规律，增强历史文化底蕴，践行</w:t>
      </w:r>
      <w:r>
        <w:rPr>
          <w:rFonts w:hint="eastAsia"/>
          <w:caps w:val="0"/>
          <w:sz w:val="32"/>
          <w:szCs w:val="32"/>
          <w:lang w:eastAsia="zh-CN"/>
        </w:rPr>
        <w:t>“</w:t>
      </w:r>
      <w:r>
        <w:rPr>
          <w:rFonts w:hint="eastAsia" w:ascii="Times New Roman" w:hAnsi="Times New Roman"/>
          <w:caps w:val="0"/>
          <w:sz w:val="32"/>
          <w:szCs w:val="32"/>
        </w:rPr>
        <w:t>绿水青山就是金山银山</w:t>
      </w:r>
      <w:r>
        <w:rPr>
          <w:rFonts w:hint="eastAsia"/>
          <w:caps w:val="0"/>
          <w:sz w:val="32"/>
          <w:szCs w:val="32"/>
          <w:lang w:eastAsia="zh-CN"/>
        </w:rPr>
        <w:t>”</w:t>
      </w:r>
      <w:r>
        <w:rPr>
          <w:rFonts w:hint="eastAsia" w:ascii="Times New Roman" w:hAnsi="Times New Roman"/>
          <w:caps w:val="0"/>
          <w:sz w:val="32"/>
          <w:szCs w:val="32"/>
        </w:rPr>
        <w:t>的理念，立足新发展阶段，构建新发展格局</w:t>
      </w:r>
      <w:r>
        <w:rPr>
          <w:rFonts w:ascii="Times New Roman" w:hAnsi="Times New Roman"/>
          <w:caps w:val="0"/>
          <w:sz w:val="32"/>
          <w:szCs w:val="32"/>
        </w:rPr>
        <w:t>，坚持人与自然和谐共生的基本方略，以持续改善环境质量为核心，以满足人民群众优美生态环境需要为出发点和落脚点，坚持生态优先、绿色发展，坚持精准、科学、依法治污，落实减污降碳总要求，深入打好污染防治攻坚战，统筹推进山水林田湖一体化保护</w:t>
      </w:r>
      <w:r>
        <w:rPr>
          <w:rFonts w:hint="eastAsia" w:ascii="Times New Roman" w:hAnsi="Times New Roman"/>
          <w:caps w:val="0"/>
          <w:sz w:val="32"/>
          <w:szCs w:val="32"/>
        </w:rPr>
        <w:t>，</w:t>
      </w:r>
      <w:r>
        <w:rPr>
          <w:rFonts w:ascii="Times New Roman" w:hAnsi="Times New Roman"/>
          <w:caps w:val="0"/>
          <w:sz w:val="32"/>
          <w:szCs w:val="32"/>
        </w:rPr>
        <w:t>提升生态系统质量和稳定性，推动绿色产业转型、科学绿化等工作</w:t>
      </w:r>
      <w:r>
        <w:rPr>
          <w:rFonts w:hint="eastAsia" w:ascii="Times New Roman" w:hAnsi="Times New Roman"/>
          <w:caps w:val="0"/>
          <w:sz w:val="32"/>
          <w:szCs w:val="32"/>
        </w:rPr>
        <w:t>，</w:t>
      </w:r>
      <w:r>
        <w:rPr>
          <w:rFonts w:ascii="Times New Roman" w:hAnsi="Times New Roman"/>
          <w:caps w:val="0"/>
          <w:sz w:val="32"/>
          <w:szCs w:val="32"/>
        </w:rPr>
        <w:t>构建现代环境治理体系，为建设国际空铁枢纽、高端智造基地、创新活力都会、绿色宜居花都奠定坚实的生态环境基础。</w:t>
      </w:r>
      <w:bookmarkEnd w:id="4"/>
    </w:p>
    <w:p>
      <w:pPr>
        <w:pStyle w:val="4"/>
        <w:keepNext/>
        <w:keepLines/>
        <w:widowControl w:val="0"/>
        <w:wordWrap/>
        <w:adjustRightInd/>
        <w:snapToGrid/>
        <w:spacing w:beforeLines="50" w:afterLines="50" w:line="240" w:lineRule="auto"/>
        <w:ind w:firstLine="632" w:firstLineChars="200"/>
        <w:jc w:val="both"/>
        <w:textAlignment w:val="auto"/>
        <w:rPr>
          <w:rFonts w:hint="eastAsia" w:ascii="Times New Roman" w:hAnsi="Times New Roman" w:eastAsia="楷体_GB2312" w:cs="楷体_GB2312"/>
          <w:b w:val="0"/>
          <w:bCs w:val="0"/>
          <w:caps w:val="0"/>
          <w:sz w:val="32"/>
          <w:szCs w:val="32"/>
        </w:rPr>
      </w:pPr>
      <w:bookmarkStart w:id="5" w:name="_Toc88053785"/>
      <w:r>
        <w:rPr>
          <w:rFonts w:hint="eastAsia" w:ascii="Times New Roman" w:hAnsi="Times New Roman" w:eastAsia="楷体_GB2312" w:cs="楷体_GB2312"/>
          <w:b w:val="0"/>
          <w:bCs w:val="0"/>
          <w:caps w:val="0"/>
          <w:sz w:val="32"/>
          <w:szCs w:val="32"/>
        </w:rPr>
        <w:t>1.3编制原则</w:t>
      </w:r>
      <w:bookmarkEnd w:id="5"/>
    </w:p>
    <w:p>
      <w:pPr>
        <w:widowControl w:val="0"/>
        <w:wordWrap/>
        <w:adjustRightInd w:val="0"/>
        <w:snapToGrid/>
        <w:spacing w:line="240" w:lineRule="auto"/>
        <w:ind w:firstLine="632" w:firstLineChars="200"/>
        <w:jc w:val="both"/>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b/>
          <w:bCs/>
          <w:caps w:val="0"/>
          <w:sz w:val="32"/>
          <w:szCs w:val="32"/>
        </w:rPr>
        <w:t>生态优先、绿色发展。</w:t>
      </w:r>
      <w:r>
        <w:rPr>
          <w:rFonts w:hint="eastAsia" w:ascii="Times New Roman" w:hAnsi="Times New Roman" w:eastAsia="仿宋_GB2312" w:cs="仿宋_GB2312"/>
          <w:caps w:val="0"/>
          <w:sz w:val="32"/>
          <w:szCs w:val="32"/>
        </w:rPr>
        <w:t>牢固树立“绿水青山就是金山银山”的发展理念，尊重自然、顺应自然、保护自然。强化环境准入硬约束，以降碳为源头治理的“牛鼻子”，加快推动绿色低碳发展，形成绿色生产和绿色生活方式，努力实现人与人、人与自然和谐共生。</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b/>
          <w:bCs/>
          <w:caps w:val="0"/>
          <w:sz w:val="32"/>
          <w:szCs w:val="32"/>
        </w:rPr>
        <w:t>深入治污、提升质量。</w:t>
      </w:r>
      <w:r>
        <w:rPr>
          <w:rFonts w:ascii="Times New Roman" w:hAnsi="Times New Roman"/>
          <w:caps w:val="0"/>
          <w:sz w:val="32"/>
          <w:szCs w:val="32"/>
        </w:rPr>
        <w:t>以改善生态环境质量为核心，以解决人民群众反映强烈的突出生态环境问题为出发点，坚持精准治污、科学治污、依法治污，深入打好污染防治攻坚战，提高治污成效，提供更多优质生态产品，不断增强人民群众的获得感、幸福感</w:t>
      </w:r>
      <w:r>
        <w:rPr>
          <w:rFonts w:hint="eastAsia" w:ascii="Times New Roman" w:hAnsi="Times New Roman"/>
          <w:caps w:val="0"/>
          <w:sz w:val="32"/>
          <w:szCs w:val="32"/>
          <w:lang w:eastAsia="zh-CN"/>
        </w:rPr>
        <w:t>和</w:t>
      </w:r>
      <w:r>
        <w:rPr>
          <w:rFonts w:ascii="Times New Roman" w:hAnsi="Times New Roman"/>
          <w:caps w:val="0"/>
          <w:sz w:val="32"/>
          <w:szCs w:val="32"/>
        </w:rPr>
        <w:t>安全感，助力建设幸福花都。</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b/>
          <w:bCs/>
          <w:caps w:val="0"/>
          <w:sz w:val="32"/>
          <w:szCs w:val="32"/>
        </w:rPr>
        <w:t>坚守底线、系统管控。</w:t>
      </w:r>
      <w:r>
        <w:rPr>
          <w:rFonts w:ascii="Times New Roman" w:hAnsi="Times New Roman"/>
          <w:caps w:val="0"/>
          <w:sz w:val="32"/>
          <w:szCs w:val="32"/>
        </w:rPr>
        <w:t>坚持底线思维，统筹山水林田湖系统治理，守住自然生态安全边界。坚持区域协调、城乡统筹、土壤和地下水污染防治统筹、减污降碳协同，为广州高水平建设生态之城贡献花都力量。</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b/>
          <w:bCs/>
          <w:caps w:val="0"/>
          <w:sz w:val="32"/>
          <w:szCs w:val="32"/>
        </w:rPr>
        <w:t>强化监管，严控风险。</w:t>
      </w:r>
      <w:r>
        <w:rPr>
          <w:rFonts w:ascii="Times New Roman" w:hAnsi="Times New Roman"/>
          <w:caps w:val="0"/>
          <w:sz w:val="32"/>
          <w:szCs w:val="32"/>
        </w:rPr>
        <w:t>坚决办好发展和安全两件大事，以保障人民生命安全和身体健康为目标，加强环境监督管理，强化环境风险防控与应急</w:t>
      </w:r>
      <w:r>
        <w:rPr>
          <w:rFonts w:hint="eastAsia"/>
          <w:caps w:val="0"/>
          <w:sz w:val="32"/>
          <w:szCs w:val="32"/>
          <w:lang w:eastAsia="zh-CN"/>
        </w:rPr>
        <w:t>管理</w:t>
      </w:r>
      <w:r>
        <w:rPr>
          <w:rFonts w:ascii="Times New Roman" w:hAnsi="Times New Roman"/>
          <w:caps w:val="0"/>
          <w:sz w:val="32"/>
          <w:szCs w:val="32"/>
        </w:rPr>
        <w:t>，助力建设平安花都。</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b/>
          <w:bCs/>
          <w:caps w:val="0"/>
          <w:sz w:val="32"/>
          <w:szCs w:val="32"/>
        </w:rPr>
        <w:t>改革创新、多元共治。</w:t>
      </w:r>
      <w:r>
        <w:rPr>
          <w:rFonts w:ascii="Times New Roman" w:hAnsi="Times New Roman"/>
          <w:caps w:val="0"/>
          <w:sz w:val="32"/>
          <w:szCs w:val="32"/>
        </w:rPr>
        <w:t>把改革创新作为基本动力，先行先试，完善生态环境保护法规政策体系，健全源头预防、过程控制、责任追究的生态环境保护体系，构建政府主导、企业主体、全民行动的现代环境治理体系，助力建设法治花都。</w:t>
      </w:r>
    </w:p>
    <w:p>
      <w:pPr>
        <w:pStyle w:val="4"/>
        <w:keepNext/>
        <w:keepLines/>
        <w:widowControl w:val="0"/>
        <w:wordWrap/>
        <w:adjustRightInd/>
        <w:snapToGrid/>
        <w:spacing w:beforeLines="50" w:afterLines="50" w:line="240" w:lineRule="auto"/>
        <w:ind w:firstLine="632" w:firstLineChars="200"/>
        <w:jc w:val="both"/>
        <w:textAlignment w:val="auto"/>
        <w:rPr>
          <w:rFonts w:hint="eastAsia" w:ascii="Times New Roman" w:hAnsi="Times New Roman" w:eastAsia="楷体_GB2312" w:cs="楷体_GB2312"/>
          <w:b w:val="0"/>
          <w:bCs w:val="0"/>
          <w:caps w:val="0"/>
          <w:sz w:val="32"/>
          <w:szCs w:val="32"/>
        </w:rPr>
      </w:pPr>
      <w:bookmarkStart w:id="6" w:name="_Toc88053786"/>
      <w:r>
        <w:rPr>
          <w:rFonts w:hint="eastAsia" w:ascii="Times New Roman" w:hAnsi="Times New Roman" w:eastAsia="楷体_GB2312" w:cs="楷体_GB2312"/>
          <w:b w:val="0"/>
          <w:bCs w:val="0"/>
          <w:caps w:val="0"/>
          <w:sz w:val="32"/>
          <w:szCs w:val="32"/>
        </w:rPr>
        <w:t>1.4规划范围与期限</w:t>
      </w:r>
      <w:bookmarkEnd w:id="6"/>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规划范围：为广州市花都区，行政区面积970</w:t>
      </w:r>
      <w:r>
        <w:rPr>
          <w:rFonts w:hint="eastAsia"/>
          <w:caps w:val="0"/>
          <w:sz w:val="32"/>
          <w:szCs w:val="32"/>
          <w:lang w:val="en-US" w:eastAsia="zh-CN"/>
        </w:rPr>
        <w:t>.04</w:t>
      </w:r>
      <w:r>
        <w:rPr>
          <w:rFonts w:ascii="Times New Roman" w:hAnsi="Times New Roman"/>
          <w:caps w:val="0"/>
          <w:sz w:val="32"/>
          <w:szCs w:val="32"/>
        </w:rPr>
        <w:t>平方公里</w:t>
      </w:r>
      <w:r>
        <w:rPr>
          <w:rFonts w:hint="eastAsia"/>
          <w:caps w:val="0"/>
          <w:sz w:val="32"/>
          <w:szCs w:val="32"/>
          <w:lang w:val="en-US" w:eastAsia="zh-CN"/>
        </w:rPr>
        <w:t>,</w:t>
      </w:r>
      <w:r>
        <w:rPr>
          <w:rFonts w:ascii="Times New Roman" w:hAnsi="Times New Roman"/>
          <w:caps w:val="0"/>
          <w:sz w:val="32"/>
          <w:szCs w:val="32"/>
        </w:rPr>
        <w:t>包括新华街、新雅街、秀全街、花城街、花山镇、花东镇、赤坭镇、炭步镇、狮岭镇、梯面镇共</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rPr>
        <w:t>街</w:t>
      </w:r>
      <w:r>
        <w:rPr>
          <w:rFonts w:hint="eastAsia" w:ascii="Times New Roman" w:hAnsi="Times New Roman" w:eastAsia="仿宋_GB2312" w:cs="仿宋_GB2312"/>
          <w:sz w:val="32"/>
          <w:szCs w:val="32"/>
          <w:lang w:val="en-US" w:eastAsia="zh-CN"/>
        </w:rPr>
        <w:t>6</w:t>
      </w:r>
      <w:r>
        <w:rPr>
          <w:rFonts w:hint="eastAsia" w:ascii="Times New Roman" w:hAnsi="Times New Roman" w:eastAsia="仿宋_GB2312" w:cs="仿宋_GB2312"/>
          <w:sz w:val="32"/>
          <w:szCs w:val="32"/>
        </w:rPr>
        <w:t>镇</w:t>
      </w:r>
      <w:r>
        <w:rPr>
          <w:rFonts w:ascii="Times New Roman" w:hAnsi="Times New Roman"/>
          <w:caps w:val="0"/>
          <w:sz w:val="32"/>
          <w:szCs w:val="32"/>
        </w:rPr>
        <w:t>。</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规划年限：近期为2021</w:t>
      </w:r>
      <w:r>
        <w:rPr>
          <w:rFonts w:hint="eastAsia" w:ascii="Times New Roman" w:hAnsi="Times New Roman"/>
          <w:caps w:val="0"/>
          <w:sz w:val="32"/>
          <w:szCs w:val="32"/>
          <w:lang w:eastAsia="zh-CN"/>
        </w:rPr>
        <w:t>—</w:t>
      </w:r>
      <w:r>
        <w:rPr>
          <w:rFonts w:ascii="Times New Roman" w:hAnsi="Times New Roman"/>
          <w:caps w:val="0"/>
          <w:sz w:val="32"/>
          <w:szCs w:val="32"/>
        </w:rPr>
        <w:t>2025年，远期为2026</w:t>
      </w:r>
      <w:r>
        <w:rPr>
          <w:rFonts w:hint="eastAsia" w:ascii="Times New Roman" w:hAnsi="Times New Roman"/>
          <w:caps w:val="0"/>
          <w:sz w:val="32"/>
          <w:szCs w:val="32"/>
          <w:lang w:eastAsia="zh-CN"/>
        </w:rPr>
        <w:t>—</w:t>
      </w:r>
      <w:r>
        <w:rPr>
          <w:rFonts w:ascii="Times New Roman" w:hAnsi="Times New Roman"/>
          <w:caps w:val="0"/>
          <w:sz w:val="32"/>
          <w:szCs w:val="32"/>
        </w:rPr>
        <w:t>2030年。</w:t>
      </w:r>
    </w:p>
    <w:p>
      <w:pPr>
        <w:widowControl w:val="0"/>
        <w:wordWrap/>
        <w:adjustRightInd w:val="0"/>
        <w:snapToGrid/>
        <w:spacing w:line="240" w:lineRule="auto"/>
        <w:ind w:firstLine="632" w:firstLineChars="200"/>
        <w:jc w:val="both"/>
        <w:textAlignment w:val="auto"/>
        <w:rPr>
          <w:rFonts w:ascii="Times New Roman" w:hAnsi="Times New Roman"/>
        </w:rPr>
        <w:sectPr>
          <w:headerReference r:id="rId10" w:type="default"/>
          <w:pgSz w:w="11906" w:h="16838"/>
          <w:pgMar w:top="2098" w:right="1474" w:bottom="1984" w:left="1587" w:header="851" w:footer="1531" w:gutter="0"/>
          <w:pgNumType w:fmt="decimal"/>
          <w:cols w:space="720" w:num="1"/>
          <w:rtlGutter w:val="0"/>
          <w:docGrid w:type="linesAndChars" w:linePitch="579" w:charSpace="-842"/>
        </w:sectPr>
      </w:pPr>
    </w:p>
    <w:p>
      <w:pPr>
        <w:pStyle w:val="3"/>
        <w:keepNext/>
        <w:keepLines/>
        <w:widowControl w:val="0"/>
        <w:wordWrap/>
        <w:adjustRightInd/>
        <w:snapToGrid/>
        <w:spacing w:beforeLines="50" w:afterLines="50" w:line="240" w:lineRule="auto"/>
        <w:ind w:firstLine="632" w:firstLineChars="200"/>
        <w:jc w:val="both"/>
        <w:textAlignment w:val="auto"/>
        <w:rPr>
          <w:rFonts w:hint="eastAsia" w:ascii="Times New Roman" w:hAnsi="Times New Roman" w:eastAsia="黑体" w:cs="黑体"/>
          <w:b w:val="0"/>
          <w:bCs w:val="0"/>
          <w:caps w:val="0"/>
          <w:sz w:val="32"/>
          <w:szCs w:val="32"/>
        </w:rPr>
      </w:pPr>
      <w:bookmarkStart w:id="7" w:name="_Toc88053787"/>
      <w:r>
        <w:rPr>
          <w:rFonts w:hint="eastAsia" w:ascii="Times New Roman" w:hAnsi="Times New Roman" w:eastAsia="黑体" w:cs="黑体"/>
          <w:b w:val="0"/>
          <w:bCs w:val="0"/>
          <w:caps w:val="0"/>
          <w:sz w:val="32"/>
          <w:szCs w:val="32"/>
        </w:rPr>
        <w:t>2、</w:t>
      </w:r>
      <w:r>
        <w:rPr>
          <w:rFonts w:hint="default" w:ascii="Times New Roman" w:hAnsi="Times New Roman" w:eastAsia="黑体" w:cs="Times New Roman"/>
          <w:b w:val="0"/>
          <w:bCs w:val="0"/>
          <w:caps w:val="0"/>
          <w:sz w:val="32"/>
          <w:szCs w:val="32"/>
        </w:rPr>
        <w:t>2013－2020</w:t>
      </w:r>
      <w:r>
        <w:rPr>
          <w:rFonts w:hint="eastAsia" w:ascii="Times New Roman" w:hAnsi="Times New Roman" w:eastAsia="黑体" w:cs="黑体"/>
          <w:b w:val="0"/>
          <w:bCs w:val="0"/>
          <w:caps w:val="0"/>
          <w:sz w:val="32"/>
          <w:szCs w:val="32"/>
        </w:rPr>
        <w:t>年环境保护规划实施情况回顾</w:t>
      </w:r>
      <w:bookmarkEnd w:id="7"/>
    </w:p>
    <w:p>
      <w:pPr>
        <w:pStyle w:val="4"/>
        <w:keepNext/>
        <w:keepLines/>
        <w:widowControl w:val="0"/>
        <w:wordWrap/>
        <w:adjustRightInd/>
        <w:snapToGrid/>
        <w:spacing w:beforeLines="50" w:afterLines="50" w:line="240" w:lineRule="auto"/>
        <w:ind w:firstLine="632" w:firstLineChars="200"/>
        <w:jc w:val="both"/>
        <w:textAlignment w:val="auto"/>
        <w:rPr>
          <w:rFonts w:hint="eastAsia" w:ascii="Times New Roman" w:hAnsi="Times New Roman" w:eastAsia="楷体_GB2312" w:cs="楷体_GB2312"/>
          <w:b w:val="0"/>
          <w:bCs w:val="0"/>
          <w:caps w:val="0"/>
          <w:sz w:val="32"/>
          <w:szCs w:val="32"/>
        </w:rPr>
      </w:pPr>
      <w:bookmarkStart w:id="8" w:name="_Toc88053788"/>
      <w:r>
        <w:rPr>
          <w:rFonts w:hint="eastAsia" w:ascii="Times New Roman" w:hAnsi="Times New Roman" w:eastAsia="楷体_GB2312" w:cs="楷体_GB2312"/>
          <w:b w:val="0"/>
          <w:bCs w:val="0"/>
          <w:caps w:val="0"/>
          <w:sz w:val="32"/>
          <w:szCs w:val="32"/>
        </w:rPr>
        <w:t>2.1主要工作成效</w:t>
      </w:r>
      <w:bookmarkEnd w:id="8"/>
    </w:p>
    <w:p>
      <w:pPr>
        <w:widowControl w:val="0"/>
        <w:wordWrap/>
        <w:snapToGrid/>
        <w:spacing w:line="592" w:lineRule="exact"/>
        <w:ind w:firstLine="632" w:firstLineChars="200"/>
        <w:jc w:val="both"/>
        <w:textAlignment w:val="auto"/>
        <w:outlineLvl w:val="2"/>
        <w:rPr>
          <w:rFonts w:hint="eastAsia" w:ascii="Times New Roman" w:hAnsi="Times New Roman" w:eastAsia="仿宋_GB2312" w:cs="仿宋_GB2312"/>
          <w:b/>
          <w:bCs/>
          <w:caps w:val="0"/>
          <w:sz w:val="32"/>
          <w:szCs w:val="32"/>
        </w:rPr>
      </w:pPr>
      <w:bookmarkStart w:id="9" w:name="_Toc88053789"/>
      <w:r>
        <w:rPr>
          <w:rFonts w:ascii="Times New Roman" w:hAnsi="Times New Roman"/>
          <w:b/>
          <w:bCs/>
          <w:caps w:val="0"/>
          <w:sz w:val="32"/>
          <w:szCs w:val="32"/>
        </w:rPr>
        <w:t>1</w:t>
      </w:r>
      <w:r>
        <w:rPr>
          <w:rFonts w:hint="eastAsia" w:ascii="仿宋_GB2312" w:hAnsi="仿宋_GB2312" w:eastAsia="仿宋_GB2312" w:cs="仿宋_GB2312"/>
          <w:b/>
          <w:bCs/>
          <w:caps w:val="0"/>
          <w:sz w:val="32"/>
          <w:szCs w:val="32"/>
          <w:lang w:val="en-US" w:eastAsia="zh-CN"/>
        </w:rPr>
        <w:t>.</w:t>
      </w:r>
      <w:r>
        <w:rPr>
          <w:rFonts w:hint="eastAsia" w:ascii="仿宋_GB2312" w:hAnsi="仿宋_GB2312" w:eastAsia="仿宋_GB2312" w:cs="仿宋_GB2312"/>
          <w:b/>
          <w:bCs/>
          <w:caps w:val="0"/>
          <w:sz w:val="32"/>
          <w:szCs w:val="32"/>
        </w:rPr>
        <w:t>经</w:t>
      </w:r>
      <w:r>
        <w:rPr>
          <w:rFonts w:hint="eastAsia" w:ascii="Times New Roman" w:hAnsi="Times New Roman" w:eastAsia="仿宋_GB2312" w:cs="仿宋_GB2312"/>
          <w:b/>
          <w:bCs/>
          <w:caps w:val="0"/>
          <w:sz w:val="32"/>
          <w:szCs w:val="32"/>
        </w:rPr>
        <w:t>济社会发展持续绿色转型</w:t>
      </w:r>
      <w:bookmarkEnd w:id="9"/>
    </w:p>
    <w:p>
      <w:pPr>
        <w:widowControl w:val="0"/>
        <w:wordWrap/>
        <w:snapToGrid/>
        <w:spacing w:line="592" w:lineRule="exact"/>
        <w:ind w:firstLine="632" w:firstLineChars="200"/>
        <w:jc w:val="both"/>
        <w:textAlignment w:val="auto"/>
        <w:rPr>
          <w:rFonts w:hint="eastAsia" w:ascii="Times New Roman" w:hAnsi="Times New Roman" w:eastAsia="仿宋_GB2312" w:cs="仿宋_GB2312"/>
          <w:caps w:val="0"/>
          <w:sz w:val="32"/>
          <w:szCs w:val="32"/>
        </w:rPr>
      </w:pPr>
      <w:r>
        <w:rPr>
          <w:rFonts w:ascii="Times New Roman" w:hAnsi="Times New Roman"/>
          <w:caps w:val="0"/>
          <w:sz w:val="32"/>
          <w:szCs w:val="32"/>
        </w:rPr>
        <w:t>以花都为核心的广州绿色金融改革创新试验区建设在</w:t>
      </w:r>
      <w:bookmarkStart w:id="10" w:name="_Hlk80169015"/>
      <w:r>
        <w:rPr>
          <w:rFonts w:ascii="Times New Roman" w:hAnsi="Times New Roman"/>
          <w:caps w:val="0"/>
          <w:sz w:val="32"/>
          <w:szCs w:val="32"/>
        </w:rPr>
        <w:t>全国同类型</w:t>
      </w:r>
      <w:bookmarkEnd w:id="10"/>
      <w:r>
        <w:rPr>
          <w:rFonts w:ascii="Times New Roman" w:hAnsi="Times New Roman"/>
          <w:caps w:val="0"/>
          <w:sz w:val="32"/>
          <w:szCs w:val="32"/>
        </w:rPr>
        <w:t>试验区中连续两次排名第一，绿色金融改革创新走在全国前列。截至2020</w:t>
      </w:r>
      <w:r>
        <w:rPr>
          <w:rFonts w:hint="eastAsia" w:ascii="Times New Roman" w:hAnsi="Times New Roman" w:eastAsia="仿宋_GB2312" w:cs="仿宋_GB2312"/>
          <w:caps w:val="0"/>
          <w:sz w:val="32"/>
          <w:szCs w:val="32"/>
        </w:rPr>
        <w:t>年底，广州碳排放权交易中心累计交易量</w:t>
      </w:r>
      <w:r>
        <w:rPr>
          <w:rFonts w:hint="eastAsia" w:ascii="Times New Roman" w:hAnsi="Times New Roman" w:cs="仿宋_GB2312"/>
          <w:caps w:val="0"/>
          <w:sz w:val="32"/>
          <w:szCs w:val="32"/>
          <w:lang w:eastAsia="zh-CN"/>
        </w:rPr>
        <w:t>、</w:t>
      </w:r>
      <w:r>
        <w:rPr>
          <w:rFonts w:hint="eastAsia" w:ascii="Times New Roman" w:hAnsi="Times New Roman" w:eastAsia="仿宋_GB2312" w:cs="仿宋_GB2312"/>
          <w:caps w:val="0"/>
          <w:sz w:val="32"/>
          <w:szCs w:val="32"/>
        </w:rPr>
        <w:t>总成交金额均排名全国第一，碳排放权抵质押融资标准和林业碳汇生态补偿机制等两项碳金融业务试点成果已在全省范围推广。碳金融产品和服务不断创新，花都区公益林碳普惠项目成为全省唯一入选</w:t>
      </w:r>
      <w:bookmarkStart w:id="192" w:name="_GoBack"/>
      <w:bookmarkEnd w:id="192"/>
      <w:r>
        <w:rPr>
          <w:rFonts w:hint="eastAsia" w:ascii="Times New Roman" w:hAnsi="Times New Roman" w:eastAsia="仿宋_GB2312" w:cs="仿宋_GB2312"/>
          <w:caps w:val="0"/>
          <w:sz w:val="32"/>
          <w:szCs w:val="32"/>
        </w:rPr>
        <w:t>自然资源部第二批“生态产品价值实现”十大典型案例。智慧政务、智慧医疗、智慧城市管理建设稳步推进，智慧交通建设加快发展，花都汽车产业基地已有</w:t>
      </w:r>
      <w:r>
        <w:rPr>
          <w:rFonts w:hint="eastAsia" w:ascii="Times New Roman" w:hAnsi="Times New Roman" w:cs="仿宋_GB2312"/>
          <w:caps w:val="0"/>
          <w:sz w:val="32"/>
          <w:szCs w:val="32"/>
          <w:lang w:val="en-US" w:eastAsia="zh-CN"/>
        </w:rPr>
        <w:t>6</w:t>
      </w:r>
      <w:r>
        <w:rPr>
          <w:rFonts w:hint="eastAsia" w:ascii="Times New Roman" w:hAnsi="Times New Roman" w:eastAsia="仿宋_GB2312" w:cs="仿宋_GB2312"/>
          <w:caps w:val="0"/>
          <w:sz w:val="32"/>
          <w:szCs w:val="32"/>
        </w:rPr>
        <w:t>条路获批成为广州市首批智能网联汽车开放测试道路。</w:t>
      </w:r>
    </w:p>
    <w:p>
      <w:pPr>
        <w:widowControl w:val="0"/>
        <w:wordWrap/>
        <w:snapToGrid/>
        <w:spacing w:line="592" w:lineRule="exact"/>
        <w:ind w:firstLine="632" w:firstLineChars="200"/>
        <w:jc w:val="both"/>
        <w:textAlignment w:val="auto"/>
        <w:outlineLvl w:val="2"/>
        <w:rPr>
          <w:rFonts w:ascii="Times New Roman" w:hAnsi="Times New Roman"/>
          <w:b/>
          <w:bCs/>
          <w:caps w:val="0"/>
          <w:sz w:val="32"/>
          <w:szCs w:val="32"/>
        </w:rPr>
      </w:pPr>
      <w:bookmarkStart w:id="11" w:name="_Toc88053790"/>
      <w:r>
        <w:rPr>
          <w:rFonts w:ascii="Times New Roman" w:hAnsi="Times New Roman"/>
          <w:b/>
          <w:bCs/>
          <w:caps w:val="0"/>
          <w:sz w:val="32"/>
          <w:szCs w:val="32"/>
        </w:rPr>
        <w:t>2</w:t>
      </w:r>
      <w:r>
        <w:rPr>
          <w:rFonts w:hint="eastAsia" w:ascii="仿宋_GB2312" w:hAnsi="仿宋_GB2312" w:eastAsia="仿宋_GB2312" w:cs="仿宋_GB2312"/>
          <w:b/>
          <w:bCs/>
          <w:caps w:val="0"/>
          <w:sz w:val="32"/>
          <w:szCs w:val="32"/>
          <w:lang w:val="en-US" w:eastAsia="zh-CN"/>
        </w:rPr>
        <w:t>.</w:t>
      </w:r>
      <w:r>
        <w:rPr>
          <w:rFonts w:hint="eastAsia" w:ascii="仿宋_GB2312" w:hAnsi="仿宋_GB2312" w:eastAsia="仿宋_GB2312" w:cs="仿宋_GB2312"/>
          <w:b/>
          <w:bCs/>
          <w:caps w:val="0"/>
          <w:sz w:val="32"/>
          <w:szCs w:val="32"/>
        </w:rPr>
        <w:t>环</w:t>
      </w:r>
      <w:r>
        <w:rPr>
          <w:rFonts w:hint="eastAsia" w:ascii="Times New Roman" w:hAnsi="Times New Roman" w:eastAsia="仿宋_GB2312" w:cs="仿宋_GB2312"/>
          <w:b/>
          <w:bCs/>
          <w:caps w:val="0"/>
          <w:sz w:val="32"/>
          <w:szCs w:val="32"/>
        </w:rPr>
        <w:t>境质量持续改善</w:t>
      </w:r>
      <w:bookmarkEnd w:id="11"/>
    </w:p>
    <w:p>
      <w:pPr>
        <w:widowControl w:val="0"/>
        <w:wordWrap/>
        <w:adjustRightInd w:val="0"/>
        <w:snapToGrid/>
        <w:spacing w:line="592" w:lineRule="exact"/>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水环境质量方面</w:t>
      </w:r>
      <w:r>
        <w:rPr>
          <w:rFonts w:hint="eastAsia"/>
          <w:caps w:val="0"/>
          <w:sz w:val="32"/>
          <w:szCs w:val="32"/>
          <w:lang w:eastAsia="zh-CN"/>
        </w:rPr>
        <w:t>。</w:t>
      </w:r>
      <w:r>
        <w:rPr>
          <w:rFonts w:ascii="Times New Roman" w:hAnsi="Times New Roman"/>
          <w:caps w:val="0"/>
          <w:sz w:val="32"/>
          <w:szCs w:val="32"/>
        </w:rPr>
        <w:t>2020年花都区李溪坝和大坳断面水质分别达到Ⅲ类和Ⅳ类标准，均达到省考核目标。城市集中式饮用</w:t>
      </w:r>
      <w:r>
        <w:rPr>
          <w:rFonts w:hint="eastAsia" w:ascii="Times New Roman" w:hAnsi="Times New Roman"/>
          <w:caps w:val="0"/>
          <w:sz w:val="32"/>
          <w:szCs w:val="32"/>
        </w:rPr>
        <w:t>水</w:t>
      </w:r>
      <w:r>
        <w:rPr>
          <w:rFonts w:ascii="Times New Roman" w:hAnsi="Times New Roman"/>
          <w:caps w:val="0"/>
          <w:sz w:val="32"/>
          <w:szCs w:val="32"/>
        </w:rPr>
        <w:t>水源和5个乡镇</w:t>
      </w:r>
      <w:r>
        <w:rPr>
          <w:rFonts w:hint="eastAsia" w:ascii="Times New Roman" w:hAnsi="Times New Roman"/>
          <w:caps w:val="0"/>
          <w:sz w:val="32"/>
          <w:szCs w:val="32"/>
        </w:rPr>
        <w:t>集中式</w:t>
      </w:r>
      <w:r>
        <w:rPr>
          <w:rFonts w:ascii="Times New Roman" w:hAnsi="Times New Roman"/>
          <w:caps w:val="0"/>
          <w:sz w:val="32"/>
          <w:szCs w:val="32"/>
        </w:rPr>
        <w:t>饮用水</w:t>
      </w:r>
      <w:r>
        <w:rPr>
          <w:rFonts w:hint="eastAsia" w:ascii="Times New Roman" w:hAnsi="Times New Roman"/>
          <w:caps w:val="0"/>
          <w:sz w:val="32"/>
          <w:szCs w:val="32"/>
        </w:rPr>
        <w:t>水源地</w:t>
      </w:r>
      <w:r>
        <w:rPr>
          <w:rFonts w:ascii="Times New Roman" w:hAnsi="Times New Roman"/>
          <w:caps w:val="0"/>
          <w:sz w:val="32"/>
          <w:szCs w:val="32"/>
        </w:rPr>
        <w:t>水质100%达标。11个地表水</w:t>
      </w:r>
      <w:r>
        <w:rPr>
          <w:rFonts w:hint="eastAsia" w:ascii="Times New Roman" w:hAnsi="Times New Roman"/>
          <w:caps w:val="0"/>
          <w:sz w:val="32"/>
          <w:szCs w:val="32"/>
        </w:rPr>
        <w:t>环境</w:t>
      </w:r>
      <w:r>
        <w:rPr>
          <w:rFonts w:ascii="Times New Roman" w:hAnsi="Times New Roman"/>
          <w:caps w:val="0"/>
          <w:sz w:val="32"/>
          <w:szCs w:val="32"/>
        </w:rPr>
        <w:t>功能区监测断面中，</w:t>
      </w:r>
      <w:r>
        <w:rPr>
          <w:rFonts w:hint="eastAsia" w:ascii="Times New Roman" w:hAnsi="Times New Roman"/>
          <w:caps w:val="0"/>
          <w:sz w:val="32"/>
          <w:szCs w:val="32"/>
        </w:rPr>
        <w:t>8个断面水质达到</w:t>
      </w:r>
      <w:r>
        <w:rPr>
          <w:rFonts w:ascii="Times New Roman" w:hAnsi="Times New Roman"/>
          <w:caps w:val="0"/>
          <w:sz w:val="32"/>
          <w:szCs w:val="32"/>
        </w:rPr>
        <w:t>Ⅲ类</w:t>
      </w:r>
      <w:r>
        <w:rPr>
          <w:rFonts w:hint="eastAsia" w:ascii="Times New Roman" w:hAnsi="Times New Roman"/>
          <w:caps w:val="0"/>
          <w:sz w:val="32"/>
          <w:szCs w:val="32"/>
        </w:rPr>
        <w:t>及</w:t>
      </w:r>
      <w:r>
        <w:rPr>
          <w:rFonts w:ascii="Times New Roman" w:hAnsi="Times New Roman"/>
          <w:caps w:val="0"/>
          <w:sz w:val="32"/>
          <w:szCs w:val="32"/>
        </w:rPr>
        <w:t>以上</w:t>
      </w:r>
      <w:r>
        <w:rPr>
          <w:rFonts w:hint="eastAsia" w:ascii="Times New Roman" w:hAnsi="Times New Roman"/>
          <w:caps w:val="0"/>
          <w:sz w:val="32"/>
          <w:szCs w:val="32"/>
        </w:rPr>
        <w:t>，</w:t>
      </w:r>
      <w:r>
        <w:rPr>
          <w:rFonts w:ascii="Times New Roman" w:hAnsi="Times New Roman"/>
          <w:caps w:val="0"/>
          <w:sz w:val="32"/>
          <w:szCs w:val="32"/>
        </w:rPr>
        <w:t>占72.73%</w:t>
      </w:r>
      <w:r>
        <w:rPr>
          <w:rFonts w:hint="eastAsia" w:ascii="Times New Roman" w:hAnsi="Times New Roman"/>
          <w:caps w:val="0"/>
          <w:sz w:val="32"/>
          <w:szCs w:val="32"/>
        </w:rPr>
        <w:t>；1个断面水质达到Ⅳ类，</w:t>
      </w:r>
      <w:r>
        <w:rPr>
          <w:rFonts w:ascii="Times New Roman" w:hAnsi="Times New Roman"/>
          <w:caps w:val="0"/>
          <w:sz w:val="32"/>
          <w:szCs w:val="32"/>
        </w:rPr>
        <w:t>占9.09%</w:t>
      </w:r>
      <w:r>
        <w:rPr>
          <w:rFonts w:hint="eastAsia" w:ascii="Times New Roman" w:hAnsi="Times New Roman"/>
          <w:caps w:val="0"/>
          <w:sz w:val="32"/>
          <w:szCs w:val="32"/>
        </w:rPr>
        <w:t>；2个断面水质达到Ⅴ类，</w:t>
      </w:r>
      <w:r>
        <w:rPr>
          <w:rFonts w:ascii="Times New Roman" w:hAnsi="Times New Roman"/>
          <w:caps w:val="0"/>
          <w:sz w:val="32"/>
          <w:szCs w:val="32"/>
        </w:rPr>
        <w:t>占18.18%。</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空气质量方面</w:t>
      </w:r>
      <w:r>
        <w:rPr>
          <w:rFonts w:hint="eastAsia"/>
          <w:caps w:val="0"/>
          <w:sz w:val="32"/>
          <w:szCs w:val="32"/>
          <w:lang w:eastAsia="zh-CN"/>
        </w:rPr>
        <w:t>。</w:t>
      </w:r>
      <w:r>
        <w:rPr>
          <w:rFonts w:ascii="Times New Roman" w:hAnsi="Times New Roman"/>
          <w:caps w:val="0"/>
          <w:sz w:val="32"/>
          <w:szCs w:val="32"/>
        </w:rPr>
        <w:t>花都区从开展工业源治理、推进挥发性有机物治理、强化机动车污染综合防治、加强城镇扬尘污染控制、探索污染防治新办法等方面入手，切实改善大气环境质量。2020年花都区空气质量达优良的天数占全年比例为91.3%，达到《广州市花都区环境保护规划（2013</w:t>
      </w:r>
      <w:r>
        <w:rPr>
          <w:rFonts w:hint="eastAsia"/>
          <w:caps w:val="0"/>
          <w:sz w:val="32"/>
          <w:szCs w:val="32"/>
          <w:lang w:eastAsia="zh-CN"/>
        </w:rPr>
        <w:t>—</w:t>
      </w:r>
      <w:r>
        <w:rPr>
          <w:rFonts w:ascii="Times New Roman" w:hAnsi="Times New Roman"/>
          <w:caps w:val="0"/>
          <w:sz w:val="32"/>
          <w:szCs w:val="32"/>
        </w:rPr>
        <w:t>2020年）》目标90%；PM</w:t>
      </w:r>
      <w:r>
        <w:rPr>
          <w:rFonts w:ascii="Times New Roman" w:hAnsi="Times New Roman"/>
          <w:caps w:val="0"/>
          <w:sz w:val="32"/>
          <w:szCs w:val="32"/>
          <w:vertAlign w:val="subscript"/>
        </w:rPr>
        <w:t>2.5</w:t>
      </w:r>
      <w:r>
        <w:rPr>
          <w:rFonts w:ascii="Times New Roman" w:hAnsi="Times New Roman"/>
          <w:caps w:val="0"/>
          <w:sz w:val="32"/>
          <w:szCs w:val="32"/>
        </w:rPr>
        <w:t>年均浓度23微克/立方米，优于《广州市花都区环境保护规划（2013</w:t>
      </w:r>
      <w:r>
        <w:rPr>
          <w:rFonts w:hint="eastAsia"/>
          <w:caps w:val="0"/>
          <w:sz w:val="32"/>
          <w:szCs w:val="32"/>
          <w:lang w:eastAsia="zh-CN"/>
        </w:rPr>
        <w:t>—</w:t>
      </w:r>
      <w:r>
        <w:rPr>
          <w:rFonts w:ascii="Times New Roman" w:hAnsi="Times New Roman"/>
          <w:caps w:val="0"/>
          <w:sz w:val="32"/>
          <w:szCs w:val="32"/>
        </w:rPr>
        <w:t>2020年）》目标35微克/立方米；二氧化硫、二氧化氮、PM</w:t>
      </w:r>
      <w:r>
        <w:rPr>
          <w:rFonts w:ascii="Times New Roman" w:hAnsi="Times New Roman"/>
          <w:caps w:val="0"/>
          <w:sz w:val="32"/>
          <w:szCs w:val="32"/>
          <w:vertAlign w:val="subscript"/>
        </w:rPr>
        <w:t>10</w:t>
      </w:r>
      <w:r>
        <w:rPr>
          <w:rFonts w:ascii="Times New Roman" w:hAnsi="Times New Roman"/>
          <w:caps w:val="0"/>
          <w:sz w:val="32"/>
          <w:szCs w:val="32"/>
        </w:rPr>
        <w:t>年均浓度分别为8微克/立方米、28微克/立方米、40微克/立方米，分别比2013年下降70.4%、34.9%、28.6%，降幅明显。</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自然生态环境方面。积极推动森林小镇创建工作，花东镇向省林业局申报创建我区第</w:t>
      </w:r>
      <w:r>
        <w:rPr>
          <w:rFonts w:ascii="Times New Roman" w:hAnsi="Times New Roman"/>
          <w:caps w:val="0"/>
          <w:sz w:val="32"/>
          <w:szCs w:val="32"/>
          <w:lang w:bidi="en-US"/>
        </w:rPr>
        <w:t>3</w:t>
      </w:r>
      <w:r>
        <w:rPr>
          <w:rFonts w:hint="eastAsia" w:ascii="Times New Roman" w:hAnsi="Times New Roman" w:eastAsia="仿宋_GB2312" w:cs="仿宋_GB2312"/>
          <w:caps w:val="0"/>
          <w:sz w:val="32"/>
          <w:szCs w:val="32"/>
        </w:rPr>
        <w:t>个“广东省森林小镇”。</w:t>
      </w:r>
      <w:r>
        <w:rPr>
          <w:rFonts w:hint="eastAsia" w:ascii="Times New Roman" w:hAnsi="Times New Roman" w:eastAsia="仿宋_GB2312" w:cs="仿宋_GB2312"/>
          <w:caps w:val="0"/>
          <w:sz w:val="32"/>
          <w:szCs w:val="32"/>
          <w:lang w:bidi="en-US"/>
        </w:rPr>
        <w:t>抓好森林碳汇</w:t>
      </w:r>
      <w:r>
        <w:rPr>
          <w:rFonts w:hint="eastAsia" w:ascii="Times New Roman" w:hAnsi="Times New Roman" w:eastAsia="仿宋_GB2312" w:cs="仿宋_GB2312"/>
          <w:caps w:val="0"/>
          <w:sz w:val="32"/>
          <w:szCs w:val="32"/>
        </w:rPr>
        <w:t>造林和森林抚育工作</w:t>
      </w:r>
      <w:r>
        <w:rPr>
          <w:rFonts w:hint="eastAsia" w:ascii="Times New Roman" w:hAnsi="Times New Roman" w:eastAsia="仿宋_GB2312" w:cs="仿宋_GB2312"/>
          <w:caps w:val="0"/>
          <w:sz w:val="32"/>
          <w:szCs w:val="32"/>
          <w:lang w:bidi="en-US"/>
        </w:rPr>
        <w:t>，</w:t>
      </w:r>
      <w:r>
        <w:rPr>
          <w:rFonts w:ascii="Times New Roman" w:hAnsi="Times New Roman"/>
          <w:caps w:val="0"/>
          <w:sz w:val="32"/>
          <w:szCs w:val="32"/>
          <w:lang w:bidi="en-US"/>
        </w:rPr>
        <w:t>2019年</w:t>
      </w:r>
      <w:r>
        <w:rPr>
          <w:rFonts w:ascii="Times New Roman" w:hAnsi="Times New Roman"/>
          <w:caps w:val="0"/>
          <w:sz w:val="32"/>
          <w:szCs w:val="32"/>
        </w:rPr>
        <w:t>完成碳汇</w:t>
      </w:r>
      <w:r>
        <w:rPr>
          <w:rFonts w:ascii="Times New Roman" w:hAnsi="Times New Roman"/>
          <w:caps w:val="0"/>
          <w:sz w:val="32"/>
          <w:szCs w:val="32"/>
          <w:lang w:bidi="en-US"/>
        </w:rPr>
        <w:t>造林面积2000亩，种植苗木14.8万株；完成</w:t>
      </w:r>
      <w:r>
        <w:rPr>
          <w:rFonts w:ascii="Times New Roman" w:hAnsi="Times New Roman"/>
          <w:caps w:val="0"/>
          <w:sz w:val="32"/>
          <w:szCs w:val="32"/>
        </w:rPr>
        <w:t>森林抚育3000亩，抚育苗木</w:t>
      </w:r>
      <w:r>
        <w:rPr>
          <w:rFonts w:ascii="Times New Roman" w:hAnsi="Times New Roman"/>
          <w:caps w:val="0"/>
          <w:sz w:val="32"/>
          <w:szCs w:val="32"/>
          <w:lang w:bidi="en-US"/>
        </w:rPr>
        <w:t>22.2万株</w:t>
      </w:r>
      <w:r>
        <w:rPr>
          <w:rFonts w:ascii="Times New Roman" w:hAnsi="Times New Roman"/>
          <w:caps w:val="0"/>
          <w:sz w:val="32"/>
          <w:szCs w:val="32"/>
        </w:rPr>
        <w:t>。</w:t>
      </w:r>
      <w:r>
        <w:rPr>
          <w:rFonts w:ascii="Times New Roman" w:hAnsi="Times New Roman"/>
          <w:caps w:val="0"/>
          <w:sz w:val="32"/>
          <w:szCs w:val="32"/>
          <w:lang w:bidi="en-US"/>
        </w:rPr>
        <w:t>开展乡村绿化美化</w:t>
      </w:r>
      <w:r>
        <w:rPr>
          <w:rFonts w:ascii="Times New Roman" w:hAnsi="Times New Roman"/>
          <w:caps w:val="0"/>
          <w:sz w:val="32"/>
          <w:szCs w:val="32"/>
        </w:rPr>
        <w:t>，推进花山镇小布村等</w:t>
      </w:r>
      <w:r>
        <w:rPr>
          <w:rFonts w:ascii="Times New Roman" w:hAnsi="Times New Roman"/>
          <w:caps w:val="0"/>
          <w:sz w:val="32"/>
          <w:szCs w:val="32"/>
          <w:lang w:bidi="en-US"/>
        </w:rPr>
        <w:t>5个</w:t>
      </w:r>
      <w:r>
        <w:rPr>
          <w:rFonts w:ascii="Times New Roman" w:hAnsi="Times New Roman"/>
          <w:caps w:val="0"/>
          <w:sz w:val="32"/>
          <w:szCs w:val="32"/>
        </w:rPr>
        <w:t>乡村绿化建设项目。</w:t>
      </w:r>
      <w:r>
        <w:rPr>
          <w:rFonts w:ascii="Times New Roman" w:hAnsi="Times New Roman"/>
          <w:caps w:val="0"/>
          <w:sz w:val="32"/>
          <w:szCs w:val="32"/>
          <w:lang w:bidi="en-US"/>
        </w:rPr>
        <w:t>规范森林资源和野生动物的利用，申请广州市林业和园林局批准办理佛（山）清（远）从（化）高速公路北段等项目占用林地5宗，</w:t>
      </w:r>
      <w:r>
        <w:rPr>
          <w:rFonts w:ascii="Times New Roman" w:hAnsi="Times New Roman"/>
          <w:caps w:val="0"/>
          <w:sz w:val="32"/>
          <w:szCs w:val="32"/>
        </w:rPr>
        <w:t>核发广州北江引水工程（水源工程）等项目临时使用林地</w:t>
      </w:r>
      <w:r>
        <w:rPr>
          <w:rFonts w:ascii="Times New Roman" w:hAnsi="Times New Roman"/>
          <w:caps w:val="0"/>
          <w:sz w:val="32"/>
          <w:szCs w:val="32"/>
          <w:lang w:bidi="en-US"/>
        </w:rPr>
        <w:t>3宗，</w:t>
      </w:r>
      <w:r>
        <w:rPr>
          <w:rFonts w:ascii="Times New Roman" w:hAnsi="Times New Roman"/>
          <w:caps w:val="0"/>
          <w:sz w:val="32"/>
          <w:szCs w:val="32"/>
        </w:rPr>
        <w:t>林木采伐许可证</w:t>
      </w:r>
      <w:r>
        <w:rPr>
          <w:rFonts w:ascii="Times New Roman" w:hAnsi="Times New Roman"/>
          <w:caps w:val="0"/>
          <w:sz w:val="32"/>
          <w:szCs w:val="32"/>
          <w:lang w:bidi="en-US"/>
        </w:rPr>
        <w:t>51</w:t>
      </w:r>
      <w:r>
        <w:rPr>
          <w:rFonts w:ascii="Times New Roman" w:hAnsi="Times New Roman"/>
          <w:caps w:val="0"/>
          <w:sz w:val="32"/>
          <w:szCs w:val="32"/>
        </w:rPr>
        <w:t>宗，经营三有保护野生动物或其产品许可证</w:t>
      </w:r>
      <w:r>
        <w:rPr>
          <w:rFonts w:ascii="Times New Roman" w:hAnsi="Times New Roman"/>
          <w:caps w:val="0"/>
          <w:sz w:val="32"/>
          <w:szCs w:val="32"/>
          <w:lang w:bidi="en-US"/>
        </w:rPr>
        <w:t>13宗</w:t>
      </w:r>
      <w:r>
        <w:rPr>
          <w:rFonts w:ascii="Times New Roman" w:hAnsi="Times New Roman"/>
          <w:caps w:val="0"/>
          <w:sz w:val="32"/>
          <w:szCs w:val="32"/>
        </w:rPr>
        <w:t>。</w:t>
      </w:r>
    </w:p>
    <w:p>
      <w:pPr>
        <w:widowControl w:val="0"/>
        <w:wordWrap/>
        <w:snapToGrid/>
        <w:spacing w:line="240" w:lineRule="auto"/>
        <w:ind w:firstLine="632" w:firstLineChars="200"/>
        <w:jc w:val="both"/>
        <w:textAlignment w:val="auto"/>
        <w:outlineLvl w:val="2"/>
        <w:rPr>
          <w:rFonts w:ascii="Times New Roman" w:hAnsi="Times New Roman"/>
          <w:b/>
          <w:bCs/>
          <w:caps w:val="0"/>
          <w:sz w:val="32"/>
          <w:szCs w:val="32"/>
        </w:rPr>
      </w:pPr>
      <w:bookmarkStart w:id="12" w:name="_Toc88053791"/>
      <w:r>
        <w:rPr>
          <w:rFonts w:ascii="Times New Roman" w:hAnsi="Times New Roman"/>
          <w:b/>
          <w:bCs/>
          <w:caps w:val="0"/>
          <w:sz w:val="32"/>
          <w:szCs w:val="32"/>
        </w:rPr>
        <w:t>3</w:t>
      </w:r>
      <w:r>
        <w:rPr>
          <w:rFonts w:hint="eastAsia" w:ascii="仿宋_GB2312" w:hAnsi="仿宋_GB2312" w:eastAsia="仿宋_GB2312" w:cs="仿宋_GB2312"/>
          <w:b/>
          <w:bCs/>
          <w:caps w:val="0"/>
          <w:sz w:val="32"/>
          <w:szCs w:val="32"/>
          <w:lang w:val="en-US" w:eastAsia="zh-CN"/>
        </w:rPr>
        <w:t>.</w:t>
      </w:r>
      <w:r>
        <w:rPr>
          <w:rFonts w:hint="eastAsia" w:ascii="仿宋_GB2312" w:hAnsi="仿宋_GB2312" w:eastAsia="仿宋_GB2312" w:cs="仿宋_GB2312"/>
          <w:b/>
          <w:bCs/>
          <w:caps w:val="0"/>
          <w:sz w:val="32"/>
          <w:szCs w:val="32"/>
        </w:rPr>
        <w:t>环</w:t>
      </w:r>
      <w:r>
        <w:rPr>
          <w:rFonts w:hint="eastAsia" w:ascii="Times New Roman" w:hAnsi="Times New Roman" w:eastAsia="仿宋_GB2312" w:cs="仿宋_GB2312"/>
          <w:b/>
          <w:bCs/>
          <w:caps w:val="0"/>
          <w:sz w:val="32"/>
          <w:szCs w:val="32"/>
        </w:rPr>
        <w:t>境污染得到有效控制</w:t>
      </w:r>
      <w:bookmarkEnd w:id="12"/>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花都区纳入国家监管平台的黑臭水体有9条，分别是白坭河、天马河、兴华涌、田美河、新街河、雅瑶涌、雅瑶支涌、大陵河、西群河；另有4</w:t>
      </w:r>
      <w:r>
        <w:rPr>
          <w:rFonts w:hint="eastAsia" w:ascii="Times New Roman" w:hAnsi="Times New Roman" w:eastAsia="仿宋_GB2312" w:cs="仿宋_GB2312"/>
          <w:caps w:val="0"/>
          <w:sz w:val="32"/>
          <w:szCs w:val="32"/>
        </w:rPr>
        <w:t>条广州市考核的黑臭河涌，分别是铜鼓坑、铁山河、大迳河、胡屋河。为推进黑臭水体整治工作，成立了区水环境整治联席会议办公室（</w:t>
      </w:r>
      <w:r>
        <w:rPr>
          <w:rFonts w:hint="eastAsia" w:ascii="Times New Roman" w:hAnsi="Times New Roman" w:cs="仿宋_GB2312"/>
          <w:caps w:val="0"/>
          <w:sz w:val="32"/>
          <w:szCs w:val="32"/>
          <w:lang w:eastAsia="zh-CN"/>
        </w:rPr>
        <w:t>以下</w:t>
      </w:r>
      <w:r>
        <w:rPr>
          <w:rFonts w:hint="eastAsia" w:ascii="Times New Roman" w:hAnsi="Times New Roman" w:eastAsia="仿宋_GB2312" w:cs="仿宋_GB2312"/>
          <w:caps w:val="0"/>
          <w:sz w:val="32"/>
          <w:szCs w:val="32"/>
        </w:rPr>
        <w:t>简称区治水办），负责</w:t>
      </w:r>
      <w:r>
        <w:rPr>
          <w:rFonts w:hint="eastAsia" w:ascii="Times New Roman" w:hAnsi="Times New Roman" w:cs="仿宋_GB2312"/>
          <w:caps w:val="0"/>
          <w:sz w:val="32"/>
          <w:szCs w:val="32"/>
          <w:lang w:eastAsia="zh-CN"/>
        </w:rPr>
        <w:t>全区</w:t>
      </w:r>
      <w:r>
        <w:rPr>
          <w:rFonts w:hint="eastAsia" w:ascii="Times New Roman" w:hAnsi="Times New Roman" w:eastAsia="仿宋_GB2312" w:cs="仿宋_GB2312"/>
          <w:caps w:val="0"/>
          <w:sz w:val="32"/>
          <w:szCs w:val="32"/>
        </w:rPr>
        <w:t>黑臭河涌整治的协调、督办、检查和考核工作，并印发了《广州市花都区黑臭河涌综合整治工作方案》《广州市花都区“河长制”实施方案》《花都区河道巡查工作方案》等工作方案。通过污染源整治、截污纳管、全面清淤、水量调度等整治措施后，全区列入</w:t>
      </w:r>
      <w:r>
        <w:rPr>
          <w:rFonts w:hint="eastAsia" w:ascii="Times New Roman" w:hAnsi="Times New Roman" w:cs="仿宋_GB2312"/>
          <w:caps w:val="0"/>
          <w:sz w:val="32"/>
          <w:szCs w:val="32"/>
          <w:lang w:eastAsia="zh-CN"/>
        </w:rPr>
        <w:t>国家</w:t>
      </w:r>
      <w:r>
        <w:rPr>
          <w:rFonts w:hint="eastAsia" w:ascii="Times New Roman" w:hAnsi="Times New Roman" w:eastAsia="仿宋_GB2312" w:cs="仿宋_GB2312"/>
          <w:caps w:val="0"/>
          <w:sz w:val="32"/>
          <w:szCs w:val="32"/>
        </w:rPr>
        <w:t>住建部黑臭水体整治监管平台和市考的</w:t>
      </w:r>
      <w:r>
        <w:rPr>
          <w:rFonts w:ascii="Times New Roman" w:hAnsi="Times New Roman"/>
          <w:caps w:val="0"/>
          <w:sz w:val="32"/>
          <w:szCs w:val="32"/>
        </w:rPr>
        <w:t>13条黑臭河涌均已完成市下达的考核目标，其中8条黑臭河涌实</w:t>
      </w:r>
      <w:r>
        <w:rPr>
          <w:rFonts w:hint="eastAsia" w:ascii="Times New Roman" w:hAnsi="Times New Roman" w:eastAsia="仿宋_GB2312" w:cs="仿宋_GB2312"/>
          <w:caps w:val="0"/>
          <w:sz w:val="32"/>
          <w:szCs w:val="32"/>
        </w:rPr>
        <w:t>现“</w:t>
      </w:r>
      <w:r>
        <w:rPr>
          <w:rFonts w:hint="eastAsia" w:ascii="Times New Roman" w:hAnsi="Times New Roman" w:cs="仿宋_GB2312"/>
          <w:caps w:val="0"/>
          <w:sz w:val="32"/>
          <w:szCs w:val="32"/>
          <w:lang w:eastAsia="zh-CN"/>
        </w:rPr>
        <w:t>长制久清</w:t>
      </w:r>
      <w:r>
        <w:rPr>
          <w:rFonts w:hint="eastAsia" w:ascii="Times New Roman" w:hAnsi="Times New Roman" w:eastAsia="仿宋_GB2312" w:cs="仿宋_GB2312"/>
          <w:caps w:val="0"/>
          <w:sz w:val="32"/>
          <w:szCs w:val="32"/>
        </w:rPr>
        <w:t>”，</w:t>
      </w:r>
      <w:r>
        <w:rPr>
          <w:rFonts w:ascii="Times New Roman" w:hAnsi="Times New Roman"/>
          <w:caps w:val="0"/>
          <w:sz w:val="32"/>
          <w:szCs w:val="32"/>
        </w:rPr>
        <w:t>西群河达到“初见成效”，其余4条河涌保持不黑不臭标准 。</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扎实开展土壤污染防治，农用地和建设用地土壤环境安全得到基本保障，土壤环境风险得到基本管控。印发了花都区土壤污染防治行动计划工作方案，对深入推进花都区土壤污染防治工作</w:t>
      </w:r>
      <w:r>
        <w:rPr>
          <w:rFonts w:hint="eastAsia"/>
          <w:caps w:val="0"/>
          <w:sz w:val="32"/>
          <w:szCs w:val="32"/>
          <w:lang w:eastAsia="zh-CN"/>
        </w:rPr>
        <w:t>进行了</w:t>
      </w:r>
      <w:r>
        <w:rPr>
          <w:rFonts w:ascii="Times New Roman" w:hAnsi="Times New Roman"/>
          <w:caps w:val="0"/>
          <w:sz w:val="32"/>
          <w:szCs w:val="32"/>
        </w:rPr>
        <w:t>详细部署。积极开展土壤污染调查，力促改善土壤环境质量，一方面完成了与第二次全国污染源普查数据的比对梳理，将符合土壤污染重点行业企业筛选原则的企业全部纳入土壤调查范围，全区纳入调查范围企业共177家，实际调查167家，已全部完成信息采集及质控要求信息采集</w:t>
      </w:r>
      <w:r>
        <w:rPr>
          <w:rFonts w:hint="eastAsia"/>
          <w:caps w:val="0"/>
          <w:sz w:val="32"/>
          <w:szCs w:val="32"/>
          <w:lang w:eastAsia="zh-CN"/>
        </w:rPr>
        <w:t>；</w:t>
      </w:r>
      <w:r>
        <w:rPr>
          <w:rFonts w:ascii="Times New Roman" w:hAnsi="Times New Roman"/>
          <w:caps w:val="0"/>
          <w:sz w:val="32"/>
          <w:szCs w:val="32"/>
        </w:rPr>
        <w:t>另一方面积极开展工业用地再开发利用地块的场地调查工作，全区已开展场地调查的2个地块均未发现超标现象。</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在噪声污染防治方面，加强噪声监测，每年度按要求开展道路交通噪声、区域环境噪声监测，并抽取部分企业对其进行噪声监测，确保企业切实采取有效防治措施，达到减振、隔声、消声，减少对周边居民的影响。每年高考前，对重要考点周围污染源进行摸底调查，对污染设施不完善的部分单位，责令</w:t>
      </w:r>
      <w:r>
        <w:rPr>
          <w:rFonts w:hint="eastAsia"/>
          <w:caps w:val="0"/>
          <w:sz w:val="32"/>
          <w:szCs w:val="32"/>
          <w:lang w:eastAsia="zh-CN"/>
        </w:rPr>
        <w:t>其</w:t>
      </w:r>
      <w:r>
        <w:rPr>
          <w:rFonts w:ascii="Times New Roman" w:hAnsi="Times New Roman"/>
          <w:caps w:val="0"/>
          <w:sz w:val="32"/>
          <w:szCs w:val="32"/>
        </w:rPr>
        <w:t>限期整改，为考生营造安静良好的考试环境。大力宣传科普噪声污染知识，引导居民合理进行广场舞等活动，有效改善了声环境。2019年交通干线噪声平均值为68.9</w:t>
      </w:r>
      <w:r>
        <w:rPr>
          <w:rFonts w:hint="default" w:ascii="Times New Roman" w:hAnsi="Times New Roman" w:cs="Times New Roman"/>
          <w:caps w:val="0"/>
          <w:sz w:val="32"/>
          <w:szCs w:val="32"/>
        </w:rPr>
        <w:t>dB（A）</w:t>
      </w:r>
      <w:r>
        <w:rPr>
          <w:rFonts w:ascii="Times New Roman" w:hAnsi="Times New Roman"/>
          <w:caps w:val="0"/>
          <w:sz w:val="32"/>
          <w:szCs w:val="32"/>
        </w:rPr>
        <w:t>，与2013年68.8dB</w:t>
      </w:r>
      <w:r>
        <w:rPr>
          <w:rFonts w:hint="eastAsia"/>
          <w:caps w:val="0"/>
          <w:sz w:val="32"/>
          <w:szCs w:val="32"/>
          <w:lang w:eastAsia="zh-CN"/>
        </w:rPr>
        <w:t>（</w:t>
      </w:r>
      <w:r>
        <w:rPr>
          <w:rFonts w:ascii="Times New Roman" w:hAnsi="Times New Roman"/>
          <w:caps w:val="0"/>
          <w:sz w:val="32"/>
          <w:szCs w:val="32"/>
        </w:rPr>
        <w:t>A</w:t>
      </w:r>
      <w:r>
        <w:rPr>
          <w:rFonts w:hint="eastAsia"/>
          <w:caps w:val="0"/>
          <w:sz w:val="32"/>
          <w:szCs w:val="32"/>
          <w:lang w:eastAsia="zh-CN"/>
        </w:rPr>
        <w:t>）</w:t>
      </w:r>
      <w:r>
        <w:rPr>
          <w:rFonts w:ascii="Times New Roman" w:hAnsi="Times New Roman"/>
          <w:caps w:val="0"/>
          <w:sz w:val="32"/>
          <w:szCs w:val="32"/>
        </w:rPr>
        <w:t>基本维持平稳状态，均达到规划目标70dB</w:t>
      </w:r>
      <w:r>
        <w:rPr>
          <w:rFonts w:hint="eastAsia"/>
          <w:caps w:val="0"/>
          <w:sz w:val="32"/>
          <w:szCs w:val="32"/>
          <w:lang w:eastAsia="zh-CN"/>
        </w:rPr>
        <w:t>（</w:t>
      </w:r>
      <w:r>
        <w:rPr>
          <w:rFonts w:ascii="Times New Roman" w:hAnsi="Times New Roman"/>
          <w:caps w:val="0"/>
          <w:sz w:val="32"/>
          <w:szCs w:val="32"/>
        </w:rPr>
        <w:t>A</w:t>
      </w:r>
      <w:r>
        <w:rPr>
          <w:rFonts w:hint="eastAsia"/>
          <w:caps w:val="0"/>
          <w:sz w:val="32"/>
          <w:szCs w:val="32"/>
          <w:lang w:eastAsia="zh-CN"/>
        </w:rPr>
        <w:t>）</w:t>
      </w:r>
      <w:r>
        <w:rPr>
          <w:rFonts w:ascii="Times New Roman" w:hAnsi="Times New Roman"/>
          <w:caps w:val="0"/>
          <w:sz w:val="32"/>
          <w:szCs w:val="32"/>
        </w:rPr>
        <w:t>的要求。</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加强工业源污染整治，强化工业废水治理与监管。完成全区印染企业淘汰工作。开展重点流域污染源排查整治行动，查处周边污染企业，封堵违法排污管道，整治或关闭沿河农家乐。推进重点企业污水自动监控建设，截</w:t>
      </w:r>
      <w:r>
        <w:rPr>
          <w:rFonts w:hint="eastAsia"/>
          <w:caps w:val="0"/>
          <w:sz w:val="32"/>
          <w:szCs w:val="32"/>
          <w:lang w:eastAsia="zh-CN"/>
        </w:rPr>
        <w:t>至</w:t>
      </w:r>
      <w:r>
        <w:rPr>
          <w:rFonts w:ascii="Times New Roman" w:hAnsi="Times New Roman"/>
          <w:caps w:val="0"/>
          <w:sz w:val="32"/>
          <w:szCs w:val="32"/>
        </w:rPr>
        <w:t>2019年底，全区共有阿尔法（广州）汽车配件有限公司等41家重点企业安装污水水质自动监控设备，重点污染源自动监测能力进一步提高。</w:t>
      </w:r>
    </w:p>
    <w:p>
      <w:pPr>
        <w:widowControl w:val="0"/>
        <w:wordWrap/>
        <w:adjustRightInd w:val="0"/>
        <w:snapToGrid/>
        <w:spacing w:line="240" w:lineRule="auto"/>
        <w:ind w:firstLine="632" w:firstLineChars="200"/>
        <w:jc w:val="both"/>
        <w:textAlignment w:val="auto"/>
        <w:rPr>
          <w:rFonts w:hint="eastAsia" w:ascii="Times New Roman" w:hAnsi="Times New Roman" w:eastAsia="仿宋_GB2312"/>
          <w:caps w:val="0"/>
          <w:sz w:val="32"/>
          <w:szCs w:val="32"/>
          <w:lang w:eastAsia="zh-CN"/>
        </w:rPr>
      </w:pPr>
      <w:r>
        <w:rPr>
          <w:rFonts w:ascii="Times New Roman" w:hAnsi="Times New Roman"/>
          <w:caps w:val="0"/>
          <w:sz w:val="32"/>
          <w:szCs w:val="32"/>
        </w:rPr>
        <w:t>城镇生活垃圾污染问题得到有效控制。为推进生活垃圾无害化处理工作，提高城镇生活垃圾无害化处理水平，花都区大力推进垃圾终</w:t>
      </w:r>
      <w:r>
        <w:rPr>
          <w:rFonts w:hint="eastAsia"/>
          <w:caps w:val="0"/>
          <w:sz w:val="32"/>
          <w:szCs w:val="32"/>
          <w:lang w:eastAsia="zh-CN"/>
        </w:rPr>
        <w:t>端</w:t>
      </w:r>
      <w:r>
        <w:rPr>
          <w:rFonts w:ascii="Times New Roman" w:hAnsi="Times New Roman"/>
          <w:caps w:val="0"/>
          <w:sz w:val="32"/>
          <w:szCs w:val="32"/>
        </w:rPr>
        <w:t>处理水平建设，广州市第五资源热力电厂建设项目，于2018年11月进入试运营，2019年7月取得环评验收批复，2020年3月进入商业运营。2019年，城镇生活垃圾无害化处理率达到100%</w:t>
      </w:r>
      <w:r>
        <w:rPr>
          <w:rFonts w:hint="eastAsia"/>
          <w:caps w:val="0"/>
          <w:sz w:val="32"/>
          <w:szCs w:val="32"/>
          <w:lang w:eastAsia="zh-CN"/>
        </w:rPr>
        <w:t>。</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固体废物环境处置及管理得到强化，大力推进工业固体废物收运与处置设施的建设，确保工业固体废物安全处置。《广州市花都区环境保护规划（2013</w:t>
      </w:r>
      <w:r>
        <w:rPr>
          <w:rFonts w:hint="eastAsia"/>
          <w:caps w:val="0"/>
          <w:sz w:val="32"/>
          <w:szCs w:val="32"/>
          <w:lang w:eastAsia="zh-CN"/>
        </w:rPr>
        <w:t>—</w:t>
      </w:r>
      <w:r>
        <w:rPr>
          <w:rFonts w:ascii="Times New Roman" w:hAnsi="Times New Roman"/>
          <w:caps w:val="0"/>
          <w:sz w:val="32"/>
          <w:szCs w:val="32"/>
        </w:rPr>
        <w:t>2020年）》实施期间，危险废物安全处理利用率和放射性废源、废物收贮率均保持100%，已完成规划指标要求。</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提升污水收集处理效能，削减生活污染源。大力推进污水管网建设和污水处理厂建设，开展雨污分流工程，推进农村生活污水处理工程，污水收集率和处理率大幅提升。2019年</w:t>
      </w:r>
      <w:r>
        <w:rPr>
          <w:rFonts w:hint="eastAsia"/>
          <w:caps w:val="0"/>
          <w:sz w:val="32"/>
          <w:szCs w:val="32"/>
          <w:lang w:eastAsia="zh-CN"/>
        </w:rPr>
        <w:t>，</w:t>
      </w:r>
      <w:r>
        <w:rPr>
          <w:rFonts w:ascii="Times New Roman" w:hAnsi="Times New Roman"/>
          <w:caps w:val="0"/>
          <w:sz w:val="32"/>
          <w:szCs w:val="32"/>
        </w:rPr>
        <w:t>城镇污水处理率达到100%，农村生活污水集中处理率</w:t>
      </w:r>
      <w:r>
        <w:rPr>
          <w:rFonts w:hint="eastAsia"/>
          <w:caps w:val="0"/>
          <w:sz w:val="32"/>
          <w:szCs w:val="32"/>
          <w:lang w:eastAsia="zh-CN"/>
        </w:rPr>
        <w:t>达到</w:t>
      </w:r>
      <w:r>
        <w:rPr>
          <w:rFonts w:ascii="Times New Roman" w:hAnsi="Times New Roman"/>
          <w:caps w:val="0"/>
          <w:sz w:val="32"/>
          <w:szCs w:val="32"/>
        </w:rPr>
        <w:t>98.9%。</w:t>
      </w:r>
    </w:p>
    <w:p>
      <w:pPr>
        <w:widowControl w:val="0"/>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农村生态环境整治方面，大力推进实施《广州市花都区禁养区畜禽养殖清理整治行动实施方案》，并印发了新一轮畜禽养殖污染整治行动实施方案，截至2019年</w:t>
      </w:r>
      <w:r>
        <w:rPr>
          <w:rFonts w:hint="eastAsia"/>
          <w:caps w:val="0"/>
          <w:sz w:val="32"/>
          <w:szCs w:val="32"/>
          <w:lang w:eastAsia="zh-CN"/>
        </w:rPr>
        <w:t>，</w:t>
      </w:r>
      <w:r>
        <w:rPr>
          <w:rFonts w:ascii="Times New Roman" w:hAnsi="Times New Roman"/>
          <w:caps w:val="0"/>
          <w:sz w:val="32"/>
          <w:szCs w:val="32"/>
        </w:rPr>
        <w:t>已完成对993个非禁养区畜禽养殖场户的整治。印发实施了《花都区畜禽养殖废弃物资源化利用方案》，截至2019年</w:t>
      </w:r>
      <w:r>
        <w:rPr>
          <w:rFonts w:hint="eastAsia"/>
          <w:caps w:val="0"/>
          <w:sz w:val="32"/>
          <w:szCs w:val="32"/>
          <w:lang w:eastAsia="zh-CN"/>
        </w:rPr>
        <w:t>，</w:t>
      </w:r>
      <w:r>
        <w:rPr>
          <w:rFonts w:ascii="Times New Roman" w:hAnsi="Times New Roman"/>
          <w:caps w:val="0"/>
          <w:sz w:val="32"/>
          <w:szCs w:val="32"/>
        </w:rPr>
        <w:t>规模化畜禽养殖粪便综合利用率为90.2%，</w:t>
      </w:r>
      <w:r>
        <w:rPr>
          <w:rFonts w:hint="eastAsia" w:ascii="Times New Roman" w:hAnsi="Times New Roman" w:eastAsia="仿宋_GB2312" w:cs="仿宋_GB2312"/>
          <w:caps w:val="0"/>
          <w:sz w:val="32"/>
          <w:szCs w:val="32"/>
        </w:rPr>
        <w:t>完成上级规划指标任务。同时加强农村生态环境建设，印发了《花都区推进生态宜居美丽乡村建设行动方案》《广州市花都区全域推进农村人居环境整治建设生态宜居美丽乡村三年行动计划工作方案》，深入推进“</w:t>
      </w:r>
      <w:r>
        <w:rPr>
          <w:rFonts w:hint="eastAsia" w:cs="仿宋_GB2312"/>
          <w:caps w:val="0"/>
          <w:sz w:val="32"/>
          <w:szCs w:val="32"/>
          <w:lang w:eastAsia="zh-CN"/>
        </w:rPr>
        <w:t>千</w:t>
      </w:r>
      <w:r>
        <w:rPr>
          <w:rFonts w:hint="eastAsia" w:ascii="Times New Roman" w:hAnsi="Times New Roman" w:eastAsia="仿宋_GB2312" w:cs="仿宋_GB2312"/>
          <w:caps w:val="0"/>
          <w:sz w:val="32"/>
          <w:szCs w:val="32"/>
        </w:rPr>
        <w:t>村示范、万村整治”工程。推进农村人居环境整治，建设生态宜居美丽农村。以农村</w:t>
      </w:r>
      <w:r>
        <w:rPr>
          <w:rFonts w:ascii="Times New Roman" w:hAnsi="Times New Roman"/>
          <w:caps w:val="0"/>
          <w:sz w:val="32"/>
          <w:szCs w:val="32"/>
        </w:rPr>
        <w:t>整治为基础，以示范创建为引领，以点带面，连线成片，推</w:t>
      </w:r>
      <w:r>
        <w:rPr>
          <w:rFonts w:hint="eastAsia"/>
          <w:caps w:val="0"/>
          <w:sz w:val="32"/>
          <w:szCs w:val="32"/>
          <w:lang w:eastAsia="zh-CN"/>
        </w:rPr>
        <w:t>进</w:t>
      </w:r>
      <w:r>
        <w:rPr>
          <w:rFonts w:ascii="Times New Roman" w:hAnsi="Times New Roman"/>
          <w:caps w:val="0"/>
          <w:sz w:val="32"/>
          <w:szCs w:val="32"/>
        </w:rPr>
        <w:t>花都特色的农村人居环境建设之路。</w:t>
      </w:r>
    </w:p>
    <w:p>
      <w:pPr>
        <w:widowControl w:val="0"/>
        <w:wordWrap/>
        <w:snapToGrid/>
        <w:spacing w:line="240" w:lineRule="auto"/>
        <w:ind w:firstLine="632" w:firstLineChars="200"/>
        <w:jc w:val="both"/>
        <w:textAlignment w:val="auto"/>
        <w:outlineLvl w:val="2"/>
        <w:rPr>
          <w:rFonts w:hint="eastAsia" w:ascii="Times New Roman" w:hAnsi="Times New Roman" w:eastAsia="仿宋_GB2312" w:cs="仿宋_GB2312"/>
          <w:b/>
          <w:bCs/>
          <w:caps w:val="0"/>
          <w:sz w:val="32"/>
          <w:szCs w:val="32"/>
        </w:rPr>
      </w:pPr>
      <w:bookmarkStart w:id="13" w:name="_Toc88053792"/>
      <w:r>
        <w:rPr>
          <w:rFonts w:ascii="Times New Roman" w:hAnsi="Times New Roman"/>
          <w:b/>
          <w:bCs/>
          <w:caps w:val="0"/>
          <w:sz w:val="32"/>
          <w:szCs w:val="32"/>
        </w:rPr>
        <w:t>4</w:t>
      </w:r>
      <w:r>
        <w:rPr>
          <w:rFonts w:hint="eastAsia" w:ascii="仿宋_GB2312" w:hAnsi="仿宋_GB2312" w:eastAsia="仿宋_GB2312" w:cs="仿宋_GB2312"/>
          <w:b/>
          <w:bCs/>
          <w:caps w:val="0"/>
          <w:sz w:val="32"/>
          <w:szCs w:val="32"/>
          <w:lang w:val="en-US" w:eastAsia="zh-CN"/>
        </w:rPr>
        <w:t>.</w:t>
      </w:r>
      <w:r>
        <w:rPr>
          <w:rFonts w:hint="eastAsia" w:ascii="仿宋_GB2312" w:hAnsi="仿宋_GB2312" w:eastAsia="仿宋_GB2312" w:cs="仿宋_GB2312"/>
          <w:b/>
          <w:bCs/>
          <w:caps w:val="0"/>
          <w:sz w:val="32"/>
          <w:szCs w:val="32"/>
        </w:rPr>
        <w:t>生态</w:t>
      </w:r>
      <w:r>
        <w:rPr>
          <w:rFonts w:hint="eastAsia" w:ascii="Times New Roman" w:hAnsi="Times New Roman" w:eastAsia="仿宋_GB2312" w:cs="仿宋_GB2312"/>
          <w:b/>
          <w:bCs/>
          <w:caps w:val="0"/>
          <w:sz w:val="32"/>
          <w:szCs w:val="32"/>
        </w:rPr>
        <w:t>环境治理能力稳步提升</w:t>
      </w:r>
      <w:bookmarkEnd w:id="13"/>
    </w:p>
    <w:p>
      <w:pPr>
        <w:widowControl w:val="0"/>
        <w:wordWrap/>
        <w:snapToGrid/>
        <w:spacing w:line="240" w:lineRule="auto"/>
        <w:ind w:firstLine="632" w:firstLineChars="200"/>
        <w:jc w:val="both"/>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在严格组织环境执法方面，建立镇</w:t>
      </w:r>
      <w:r>
        <w:rPr>
          <w:rFonts w:hint="eastAsia" w:ascii="Times New Roman" w:hAnsi="Times New Roman" w:cs="仿宋_GB2312"/>
          <w:caps w:val="0"/>
          <w:sz w:val="32"/>
          <w:szCs w:val="32"/>
          <w:lang w:eastAsia="zh-CN"/>
        </w:rPr>
        <w:t>（</w:t>
      </w:r>
      <w:r>
        <w:rPr>
          <w:rFonts w:hint="eastAsia" w:ascii="Times New Roman" w:hAnsi="Times New Roman" w:eastAsia="仿宋_GB2312" w:cs="仿宋_GB2312"/>
          <w:caps w:val="0"/>
          <w:sz w:val="32"/>
          <w:szCs w:val="32"/>
        </w:rPr>
        <w:t>街</w:t>
      </w:r>
      <w:r>
        <w:rPr>
          <w:rFonts w:hint="eastAsia" w:ascii="Times New Roman" w:hAnsi="Times New Roman" w:cs="仿宋_GB2312"/>
          <w:caps w:val="0"/>
          <w:sz w:val="32"/>
          <w:szCs w:val="32"/>
          <w:lang w:eastAsia="zh-CN"/>
        </w:rPr>
        <w:t>）</w:t>
      </w:r>
      <w:r>
        <w:rPr>
          <w:rFonts w:hint="eastAsia" w:ascii="Times New Roman" w:hAnsi="Times New Roman" w:eastAsia="仿宋_GB2312" w:cs="仿宋_GB2312"/>
          <w:caps w:val="0"/>
          <w:sz w:val="32"/>
          <w:szCs w:val="32"/>
        </w:rPr>
        <w:t>园区专职环保员队伍</w:t>
      </w:r>
      <w:r>
        <w:rPr>
          <w:rFonts w:hint="eastAsia" w:ascii="Times New Roman" w:hAnsi="Times New Roman" w:cs="仿宋_GB2312"/>
          <w:caps w:val="0"/>
          <w:sz w:val="32"/>
          <w:szCs w:val="32"/>
          <w:lang w:eastAsia="zh-CN"/>
        </w:rPr>
        <w:t>，</w:t>
      </w:r>
      <w:r>
        <w:rPr>
          <w:rFonts w:hint="eastAsia" w:ascii="Times New Roman" w:hAnsi="Times New Roman" w:eastAsia="仿宋_GB2312" w:cs="仿宋_GB2312"/>
          <w:caps w:val="0"/>
          <w:sz w:val="32"/>
          <w:szCs w:val="32"/>
        </w:rPr>
        <w:t>壮大执法力量；开展环境执法“大练兵”活动</w:t>
      </w:r>
      <w:r>
        <w:rPr>
          <w:rFonts w:hint="eastAsia" w:ascii="Times New Roman" w:hAnsi="Times New Roman" w:cs="仿宋_GB2312"/>
          <w:caps w:val="0"/>
          <w:sz w:val="32"/>
          <w:szCs w:val="32"/>
          <w:lang w:eastAsia="zh-CN"/>
        </w:rPr>
        <w:t>，</w:t>
      </w:r>
      <w:r>
        <w:rPr>
          <w:rFonts w:hint="eastAsia" w:ascii="Times New Roman" w:hAnsi="Times New Roman" w:eastAsia="仿宋_GB2312" w:cs="仿宋_GB2312"/>
          <w:caps w:val="0"/>
          <w:sz w:val="32"/>
          <w:szCs w:val="32"/>
        </w:rPr>
        <w:t>加强执法行动；充分运用新环保法赋予的执法手段</w:t>
      </w:r>
      <w:r>
        <w:rPr>
          <w:rFonts w:hint="eastAsia" w:ascii="Times New Roman" w:hAnsi="Times New Roman" w:cs="仿宋_GB2312"/>
          <w:caps w:val="0"/>
          <w:sz w:val="32"/>
          <w:szCs w:val="32"/>
          <w:lang w:eastAsia="zh-CN"/>
        </w:rPr>
        <w:t>，</w:t>
      </w:r>
      <w:r>
        <w:rPr>
          <w:rFonts w:hint="eastAsia" w:ascii="Times New Roman" w:hAnsi="Times New Roman" w:eastAsia="仿宋_GB2312" w:cs="仿宋_GB2312"/>
          <w:caps w:val="0"/>
          <w:sz w:val="32"/>
          <w:szCs w:val="32"/>
        </w:rPr>
        <w:t>加大处罚力度。</w:t>
      </w:r>
    </w:p>
    <w:p>
      <w:pPr>
        <w:widowControl w:val="0"/>
        <w:wordWrap/>
        <w:snapToGrid/>
        <w:spacing w:line="240" w:lineRule="auto"/>
        <w:ind w:firstLine="632" w:firstLineChars="200"/>
        <w:jc w:val="both"/>
        <w:textAlignment w:val="auto"/>
        <w:rPr>
          <w:rFonts w:hint="eastAsia" w:ascii="Times New Roman" w:hAnsi="Times New Roman" w:eastAsia="仿宋_GB2312" w:cs="仿宋_GB2312"/>
          <w:caps w:val="0"/>
          <w:sz w:val="32"/>
          <w:szCs w:val="32"/>
        </w:rPr>
      </w:pPr>
      <w:r>
        <w:rPr>
          <w:rFonts w:ascii="Times New Roman" w:hAnsi="Times New Roman"/>
          <w:caps w:val="0"/>
          <w:sz w:val="32"/>
          <w:szCs w:val="32"/>
        </w:rPr>
        <w:t>在提升监测能力方面，2015年</w:t>
      </w:r>
      <w:r>
        <w:rPr>
          <w:rFonts w:hint="eastAsia"/>
          <w:caps w:val="0"/>
          <w:sz w:val="32"/>
          <w:szCs w:val="32"/>
          <w:lang w:eastAsia="zh-CN"/>
        </w:rPr>
        <w:t>，</w:t>
      </w:r>
      <w:r>
        <w:rPr>
          <w:rFonts w:ascii="Times New Roman" w:hAnsi="Times New Roman"/>
          <w:caps w:val="0"/>
          <w:sz w:val="32"/>
          <w:szCs w:val="32"/>
        </w:rPr>
        <w:t>我区环境监测站顺利通过了计量认证复评审和扩项、</w:t>
      </w:r>
      <w:r>
        <w:rPr>
          <w:rFonts w:ascii="Times New Roman" w:hAnsi="Times New Roman"/>
          <w:caps w:val="0"/>
          <w:sz w:val="32"/>
          <w:szCs w:val="32"/>
          <w:highlight w:val="none"/>
        </w:rPr>
        <w:t>区质量技术监督局的监督检查</w:t>
      </w:r>
      <w:r>
        <w:rPr>
          <w:rFonts w:ascii="Times New Roman" w:hAnsi="Times New Roman"/>
          <w:caps w:val="0"/>
          <w:sz w:val="32"/>
          <w:szCs w:val="32"/>
        </w:rPr>
        <w:t>以及广州市的环境监测网络站监测工作质量专项检查</w:t>
      </w:r>
      <w:r>
        <w:rPr>
          <w:rFonts w:hint="eastAsia"/>
          <w:caps w:val="0"/>
          <w:sz w:val="32"/>
          <w:szCs w:val="32"/>
          <w:lang w:eastAsia="zh-CN"/>
        </w:rPr>
        <w:t>；</w:t>
      </w:r>
      <w:r>
        <w:rPr>
          <w:rFonts w:ascii="Times New Roman" w:hAnsi="Times New Roman"/>
          <w:caps w:val="0"/>
          <w:sz w:val="32"/>
          <w:szCs w:val="32"/>
        </w:rPr>
        <w:t>2016年9月</w:t>
      </w:r>
      <w:r>
        <w:rPr>
          <w:rFonts w:hint="eastAsia"/>
          <w:caps w:val="0"/>
          <w:sz w:val="32"/>
          <w:szCs w:val="32"/>
          <w:lang w:eastAsia="zh-CN"/>
        </w:rPr>
        <w:t>，</w:t>
      </w:r>
      <w:r>
        <w:rPr>
          <w:rFonts w:ascii="Times New Roman" w:hAnsi="Times New Roman"/>
          <w:caps w:val="0"/>
          <w:sz w:val="32"/>
          <w:szCs w:val="32"/>
        </w:rPr>
        <w:t>通过广州市的环境监测网络站监测工作质量专项检查，于2016年10月顺利通过区质量技术监督局的监督检查工作，监测数据均达到实验室精密度和准确度的要求</w:t>
      </w:r>
      <w:r>
        <w:rPr>
          <w:rFonts w:hint="eastAsia"/>
          <w:caps w:val="0"/>
          <w:sz w:val="32"/>
          <w:szCs w:val="32"/>
          <w:lang w:eastAsia="zh-CN"/>
        </w:rPr>
        <w:t>；</w:t>
      </w:r>
      <w:r>
        <w:rPr>
          <w:rFonts w:ascii="Times New Roman" w:hAnsi="Times New Roman"/>
          <w:caps w:val="0"/>
          <w:sz w:val="32"/>
          <w:szCs w:val="32"/>
        </w:rPr>
        <w:t>2014年</w:t>
      </w:r>
      <w:r>
        <w:rPr>
          <w:rFonts w:hint="eastAsia"/>
          <w:caps w:val="0"/>
          <w:sz w:val="32"/>
          <w:szCs w:val="32"/>
          <w:lang w:eastAsia="zh-CN"/>
        </w:rPr>
        <w:t>，</w:t>
      </w:r>
      <w:r>
        <w:rPr>
          <w:rFonts w:ascii="Times New Roman" w:hAnsi="Times New Roman"/>
          <w:caps w:val="0"/>
          <w:sz w:val="32"/>
          <w:szCs w:val="32"/>
        </w:rPr>
        <w:t>完成了花都区环境空气质量监测点优化布点研究工作，到2015年底，花东</w:t>
      </w:r>
      <w:r>
        <w:rPr>
          <w:rFonts w:hint="eastAsia"/>
          <w:caps w:val="0"/>
          <w:sz w:val="32"/>
          <w:szCs w:val="32"/>
          <w:lang w:eastAsia="zh-CN"/>
        </w:rPr>
        <w:t>镇</w:t>
      </w:r>
      <w:r>
        <w:rPr>
          <w:rFonts w:ascii="Times New Roman" w:hAnsi="Times New Roman"/>
          <w:caps w:val="0"/>
          <w:sz w:val="32"/>
          <w:szCs w:val="32"/>
        </w:rPr>
        <w:t>、梯面</w:t>
      </w:r>
      <w:r>
        <w:rPr>
          <w:rFonts w:hint="eastAsia"/>
          <w:caps w:val="0"/>
          <w:sz w:val="32"/>
          <w:szCs w:val="32"/>
          <w:lang w:eastAsia="zh-CN"/>
        </w:rPr>
        <w:t>镇</w:t>
      </w:r>
      <w:r>
        <w:rPr>
          <w:rFonts w:ascii="Times New Roman" w:hAnsi="Times New Roman"/>
          <w:caps w:val="0"/>
          <w:sz w:val="32"/>
          <w:szCs w:val="32"/>
        </w:rPr>
        <w:t>、赤坭</w:t>
      </w:r>
      <w:r>
        <w:rPr>
          <w:rFonts w:hint="eastAsia"/>
          <w:caps w:val="0"/>
          <w:sz w:val="32"/>
          <w:szCs w:val="32"/>
          <w:lang w:eastAsia="zh-CN"/>
        </w:rPr>
        <w:t>镇</w:t>
      </w:r>
      <w:r>
        <w:rPr>
          <w:rFonts w:ascii="Times New Roman" w:hAnsi="Times New Roman"/>
          <w:caps w:val="0"/>
          <w:sz w:val="32"/>
          <w:szCs w:val="32"/>
        </w:rPr>
        <w:t>三个站点已完成建设，</w:t>
      </w:r>
      <w:r>
        <w:rPr>
          <w:rFonts w:hint="eastAsia"/>
          <w:caps w:val="0"/>
          <w:sz w:val="32"/>
          <w:szCs w:val="32"/>
          <w:lang w:eastAsia="zh-CN"/>
        </w:rPr>
        <w:t>并</w:t>
      </w:r>
      <w:r>
        <w:rPr>
          <w:rFonts w:ascii="Times New Roman" w:hAnsi="Times New Roman"/>
          <w:caps w:val="0"/>
          <w:sz w:val="32"/>
          <w:szCs w:val="32"/>
        </w:rPr>
        <w:t>向社会公众发布空气质量数据。加强白坭河、流溪河断面及支涌的常态监测。按照每周一次的频次，加密流溪河流域李溪坝断面及五条支涌的监测，及时对白坭河、流溪河水质数据进行综合分析</w:t>
      </w:r>
      <w:r>
        <w:rPr>
          <w:rFonts w:hint="eastAsia"/>
          <w:caps w:val="0"/>
          <w:sz w:val="32"/>
          <w:szCs w:val="32"/>
          <w:lang w:eastAsia="zh-CN"/>
        </w:rPr>
        <w:t>，</w:t>
      </w:r>
      <w:r>
        <w:rPr>
          <w:rFonts w:ascii="Times New Roman" w:hAnsi="Times New Roman"/>
          <w:caps w:val="0"/>
          <w:sz w:val="32"/>
          <w:szCs w:val="32"/>
        </w:rPr>
        <w:t>同时对雅瑶涌、雅瑶支涌、芦苞涌等其它重点河涌开展定期和不定期的调查监测。此外</w:t>
      </w:r>
      <w:r>
        <w:rPr>
          <w:rFonts w:hint="eastAsia"/>
          <w:caps w:val="0"/>
          <w:sz w:val="32"/>
          <w:szCs w:val="32"/>
          <w:lang w:eastAsia="zh-CN"/>
        </w:rPr>
        <w:t>，</w:t>
      </w:r>
      <w:r>
        <w:rPr>
          <w:rFonts w:ascii="Times New Roman" w:hAnsi="Times New Roman"/>
          <w:caps w:val="0"/>
          <w:sz w:val="32"/>
          <w:szCs w:val="32"/>
        </w:rPr>
        <w:t>还</w:t>
      </w:r>
      <w:r>
        <w:rPr>
          <w:rFonts w:hint="eastAsia" w:ascii="Times New Roman" w:hAnsi="Times New Roman" w:eastAsia="仿宋_GB2312" w:cs="仿宋_GB2312"/>
          <w:sz w:val="32"/>
          <w:szCs w:val="32"/>
          <w:lang w:eastAsia="zh-CN"/>
        </w:rPr>
        <w:t>组织开展相关培训，切实</w:t>
      </w:r>
      <w:r>
        <w:rPr>
          <w:rFonts w:hint="eastAsia" w:ascii="Times New Roman" w:hAnsi="Times New Roman" w:eastAsia="仿宋_GB2312" w:cs="仿宋_GB2312"/>
          <w:sz w:val="32"/>
          <w:szCs w:val="32"/>
        </w:rPr>
        <w:t>提高</w:t>
      </w:r>
      <w:r>
        <w:rPr>
          <w:rFonts w:hint="eastAsia" w:ascii="Times New Roman" w:hAnsi="Times New Roman" w:eastAsia="仿宋_GB2312" w:cs="仿宋_GB2312"/>
          <w:sz w:val="32"/>
          <w:szCs w:val="32"/>
          <w:lang w:eastAsia="zh-CN"/>
        </w:rPr>
        <w:t>了监测人员</w:t>
      </w:r>
      <w:r>
        <w:rPr>
          <w:rFonts w:hint="eastAsia" w:ascii="Times New Roman" w:hAnsi="Times New Roman" w:eastAsia="仿宋_GB2312" w:cs="仿宋_GB2312"/>
          <w:sz w:val="32"/>
          <w:szCs w:val="32"/>
        </w:rPr>
        <w:t>专业技能</w:t>
      </w:r>
      <w:r>
        <w:rPr>
          <w:rFonts w:hint="eastAsia" w:ascii="Times New Roman" w:hAnsi="Times New Roman" w:eastAsia="仿宋_GB2312" w:cs="仿宋_GB2312"/>
          <w:sz w:val="32"/>
          <w:szCs w:val="32"/>
          <w:lang w:eastAsia="zh-CN"/>
        </w:rPr>
        <w:t>水平</w:t>
      </w:r>
      <w:r>
        <w:rPr>
          <w:rFonts w:hint="eastAsia" w:ascii="Times New Roman" w:hAnsi="Times New Roman" w:eastAsia="仿宋_GB2312" w:cs="仿宋_GB2312"/>
          <w:sz w:val="32"/>
          <w:szCs w:val="32"/>
        </w:rPr>
        <w:t>。</w:t>
      </w:r>
      <w:r>
        <w:rPr>
          <w:rFonts w:ascii="Times New Roman" w:hAnsi="Times New Roman"/>
          <w:caps w:val="0"/>
          <w:sz w:val="32"/>
          <w:szCs w:val="32"/>
        </w:rPr>
        <w:t>突出重点污染源排污监测，督促我区全部国控源企业完成自动监控体系建设，开展自行监测和信息公开</w:t>
      </w:r>
      <w:r>
        <w:rPr>
          <w:rFonts w:hint="eastAsia"/>
          <w:caps w:val="0"/>
          <w:sz w:val="32"/>
          <w:szCs w:val="32"/>
          <w:lang w:eastAsia="zh-CN"/>
        </w:rPr>
        <w:t>工作</w:t>
      </w:r>
      <w:r>
        <w:rPr>
          <w:rFonts w:ascii="Times New Roman" w:hAnsi="Times New Roman"/>
          <w:caps w:val="0"/>
          <w:sz w:val="32"/>
          <w:szCs w:val="32"/>
        </w:rPr>
        <w:t>。推进农村环境监测能力建设，配合广州市环境监测中心站开展农村饮用水</w:t>
      </w:r>
      <w:r>
        <w:rPr>
          <w:rFonts w:hint="eastAsia" w:ascii="Times New Roman" w:hAnsi="Times New Roman"/>
          <w:caps w:val="0"/>
          <w:sz w:val="32"/>
          <w:szCs w:val="32"/>
        </w:rPr>
        <w:t>水</w:t>
      </w:r>
      <w:r>
        <w:rPr>
          <w:rFonts w:ascii="Times New Roman" w:hAnsi="Times New Roman"/>
          <w:caps w:val="0"/>
          <w:sz w:val="32"/>
          <w:szCs w:val="32"/>
        </w:rPr>
        <w:t>源监测网络规划研</w:t>
      </w:r>
      <w:r>
        <w:rPr>
          <w:rFonts w:hint="eastAsia" w:ascii="Times New Roman" w:hAnsi="Times New Roman" w:eastAsia="仿宋_GB2312" w:cs="仿宋_GB2312"/>
          <w:caps w:val="0"/>
          <w:sz w:val="32"/>
          <w:szCs w:val="32"/>
        </w:rPr>
        <w:t>究，定期开展农村企业污染监测。</w:t>
      </w:r>
    </w:p>
    <w:p>
      <w:pPr>
        <w:widowControl w:val="0"/>
        <w:wordWrap/>
        <w:snapToGrid/>
        <w:spacing w:line="240" w:lineRule="auto"/>
        <w:ind w:firstLine="632" w:firstLineChars="200"/>
        <w:jc w:val="both"/>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在推进生态环境保护信息化建设方面，我区立足区域发展需求，</w:t>
      </w:r>
      <w:r>
        <w:rPr>
          <w:rFonts w:hint="eastAsia" w:ascii="Times New Roman" w:hAnsi="Times New Roman" w:cs="仿宋_GB2312"/>
          <w:caps w:val="0"/>
          <w:sz w:val="32"/>
          <w:szCs w:val="32"/>
          <w:lang w:eastAsia="zh-CN"/>
        </w:rPr>
        <w:t>将</w:t>
      </w:r>
      <w:r>
        <w:rPr>
          <w:rFonts w:hint="eastAsia" w:ascii="Times New Roman" w:hAnsi="Times New Roman" w:eastAsia="仿宋_GB2312" w:cs="仿宋_GB2312"/>
          <w:caps w:val="0"/>
          <w:sz w:val="32"/>
          <w:szCs w:val="32"/>
        </w:rPr>
        <w:t>“三线一单”总体空间管控成果融入“多规合一”平台，优化产业发展布局，保障高质量发展。创新性的搭建“三线一单”</w:t>
      </w:r>
      <w:r>
        <w:rPr>
          <w:rFonts w:ascii="Times New Roman" w:hAnsi="Times New Roman"/>
          <w:caps w:val="0"/>
          <w:sz w:val="32"/>
          <w:szCs w:val="32"/>
        </w:rPr>
        <w:t>GIS平台，依托GIS</w:t>
      </w:r>
      <w:r>
        <w:rPr>
          <w:rFonts w:hint="eastAsia" w:ascii="Times New Roman" w:hAnsi="Times New Roman" w:eastAsia="仿宋_GB2312" w:cs="仿宋_GB2312"/>
          <w:caps w:val="0"/>
          <w:sz w:val="32"/>
          <w:szCs w:val="32"/>
        </w:rPr>
        <w:t>地理信息系统的采集、运算、分析等功能，配合搭建“多规合一”平台，实现“三线一单”划分成果数据化、动态化管理。</w:t>
      </w:r>
    </w:p>
    <w:p>
      <w:pPr>
        <w:widowControl w:val="0"/>
        <w:wordWrap/>
        <w:snapToGrid/>
        <w:spacing w:line="240" w:lineRule="auto"/>
        <w:ind w:firstLine="632" w:firstLineChars="200"/>
        <w:jc w:val="both"/>
        <w:textAlignment w:val="auto"/>
        <w:rPr>
          <w:rFonts w:ascii="Times New Roman" w:hAnsi="Times New Roman"/>
          <w:caps w:val="0"/>
          <w:sz w:val="32"/>
          <w:szCs w:val="32"/>
        </w:rPr>
      </w:pPr>
      <w:r>
        <w:rPr>
          <w:rFonts w:hint="eastAsia" w:ascii="Times New Roman" w:hAnsi="Times New Roman" w:eastAsia="仿宋_GB2312" w:cs="仿宋_GB2312"/>
          <w:bCs/>
          <w:caps w:val="0"/>
          <w:sz w:val="32"/>
          <w:szCs w:val="32"/>
        </w:rPr>
        <w:t>在环境应急方面，</w:t>
      </w:r>
      <w:r>
        <w:rPr>
          <w:rFonts w:hint="eastAsia" w:ascii="Times New Roman" w:hAnsi="Times New Roman" w:eastAsia="仿宋_GB2312" w:cs="仿宋_GB2312"/>
          <w:caps w:val="0"/>
          <w:sz w:val="32"/>
          <w:szCs w:val="32"/>
        </w:rPr>
        <w:t>成立了以执法监察和监测人员为主的环境应急队伍，建立环境应急领导带班和</w:t>
      </w:r>
      <w:r>
        <w:rPr>
          <w:rFonts w:ascii="Times New Roman" w:hAnsi="Times New Roman"/>
          <w:caps w:val="0"/>
          <w:sz w:val="32"/>
          <w:szCs w:val="32"/>
        </w:rPr>
        <w:t>24小时值班制度，严格落实突发环境事件报告制度</w:t>
      </w:r>
      <w:r>
        <w:rPr>
          <w:rFonts w:hint="eastAsia"/>
          <w:caps w:val="0"/>
          <w:sz w:val="32"/>
          <w:szCs w:val="32"/>
          <w:lang w:eastAsia="zh-CN"/>
        </w:rPr>
        <w:t>；组织安排</w:t>
      </w:r>
      <w:r>
        <w:rPr>
          <w:rFonts w:ascii="Times New Roman" w:hAnsi="Times New Roman"/>
          <w:caps w:val="0"/>
          <w:sz w:val="32"/>
          <w:szCs w:val="32"/>
        </w:rPr>
        <w:t>应急管理人员参加环境应急管理培训班和应急管理人员电视会议培训。</w:t>
      </w:r>
      <w:r>
        <w:rPr>
          <w:rFonts w:hint="eastAsia"/>
          <w:caps w:val="0"/>
          <w:sz w:val="32"/>
          <w:szCs w:val="32"/>
          <w:lang w:eastAsia="zh-CN"/>
        </w:rPr>
        <w:t>有效</w:t>
      </w:r>
      <w:r>
        <w:rPr>
          <w:rFonts w:ascii="Times New Roman" w:hAnsi="Times New Roman"/>
          <w:caps w:val="0"/>
          <w:sz w:val="32"/>
          <w:szCs w:val="32"/>
        </w:rPr>
        <w:t>处置</w:t>
      </w:r>
      <w:r>
        <w:rPr>
          <w:rFonts w:hint="eastAsia"/>
          <w:caps w:val="0"/>
          <w:sz w:val="32"/>
          <w:szCs w:val="32"/>
          <w:lang w:eastAsia="zh-CN"/>
        </w:rPr>
        <w:t>了</w:t>
      </w:r>
      <w:r>
        <w:rPr>
          <w:rFonts w:ascii="Times New Roman" w:hAnsi="Times New Roman"/>
          <w:caps w:val="0"/>
          <w:sz w:val="32"/>
          <w:szCs w:val="32"/>
        </w:rPr>
        <w:t>白坭河赤坭段河面出现漂浮油状物质、广州泓泰油脂化工有限公司发生油脂泄漏、广州精泽五金厂和广州精旭涂料制品有限责任公司向花东镇联安村大沙河段偷排污水等多起环境应急事件。全面修编《花都区突发环境事件应急预案》《花都区环境空气重污染应急预案》和《花都区环境保护局应急预案》专项预案，新编《花都区饮用水源突发环境事件应急预案》，并把土壤污染纳入《花都区突发环境事件应急预案》中。开展企业事业单位突发环境事件应急预案备案工作</w:t>
      </w:r>
      <w:r>
        <w:rPr>
          <w:rFonts w:hint="eastAsia"/>
          <w:caps w:val="0"/>
          <w:sz w:val="32"/>
          <w:szCs w:val="32"/>
          <w:lang w:eastAsia="zh-CN"/>
        </w:rPr>
        <w:t>，</w:t>
      </w:r>
      <w:r>
        <w:rPr>
          <w:rFonts w:ascii="Times New Roman" w:hAnsi="Times New Roman"/>
          <w:caps w:val="0"/>
          <w:sz w:val="32"/>
          <w:szCs w:val="32"/>
        </w:rPr>
        <w:t>按规定将全区已备案企业资料录入环境应急预案备案数据库。</w:t>
      </w:r>
      <w:r>
        <w:rPr>
          <w:rFonts w:hint="eastAsia"/>
          <w:caps w:val="0"/>
          <w:sz w:val="32"/>
          <w:szCs w:val="32"/>
          <w:lang w:eastAsia="zh-CN"/>
        </w:rPr>
        <w:t>对</w:t>
      </w:r>
      <w:r>
        <w:rPr>
          <w:rFonts w:ascii="Times New Roman" w:hAnsi="Times New Roman"/>
          <w:caps w:val="0"/>
          <w:sz w:val="32"/>
          <w:szCs w:val="32"/>
        </w:rPr>
        <w:t>企事业单位的突发环境事件应急预案和应急演练情况进行检查，对未编写突发环境事件应急预案的企业进行立案查处。多次开展突发环境事件应急处置演练。</w:t>
      </w:r>
    </w:p>
    <w:p>
      <w:pPr>
        <w:widowControl w:val="0"/>
        <w:wordWrap/>
        <w:snapToGrid/>
        <w:spacing w:line="240" w:lineRule="auto"/>
        <w:ind w:firstLine="632" w:firstLineChars="200"/>
        <w:jc w:val="both"/>
        <w:textAlignment w:val="auto"/>
        <w:rPr>
          <w:rFonts w:ascii="Times New Roman" w:hAnsi="Times New Roman"/>
          <w:bCs/>
          <w:caps w:val="0"/>
          <w:sz w:val="32"/>
          <w:szCs w:val="32"/>
        </w:rPr>
      </w:pPr>
      <w:r>
        <w:rPr>
          <w:rFonts w:hint="eastAsia" w:ascii="Times New Roman" w:hAnsi="Times New Roman" w:eastAsia="仿宋_GB2312" w:cs="仿宋_GB2312"/>
          <w:bCs/>
          <w:caps w:val="0"/>
          <w:sz w:val="32"/>
          <w:szCs w:val="32"/>
        </w:rPr>
        <w:t>在宣教能力建设方面，以生态环保教育“五进”、“下基层”等活动为契机，开展环保宣传进企业、进机关、进社区、进农村、进学校活动；围绕“美丽中国，我是行动者”环保主题开展大型环保宣传活动，共开展</w:t>
      </w:r>
      <w:r>
        <w:rPr>
          <w:rFonts w:hint="eastAsia" w:ascii="Times New Roman" w:hAnsi="Times New Roman" w:eastAsia="仿宋_GB2312" w:cs="仿宋_GB2312"/>
          <w:bCs/>
          <w:sz w:val="32"/>
          <w:szCs w:val="32"/>
        </w:rPr>
        <w:t>“六五环境日”</w:t>
      </w:r>
      <w:r>
        <w:rPr>
          <w:rFonts w:hint="eastAsia" w:ascii="Times New Roman" w:hAnsi="Times New Roman" w:eastAsia="仿宋_GB2312" w:cs="仿宋_GB2312"/>
          <w:bCs/>
          <w:caps w:val="0"/>
          <w:sz w:val="32"/>
          <w:szCs w:val="32"/>
        </w:rPr>
        <w:t>“爱护环境月”、典型环保涉刑案例展等大型环保宣传活动</w:t>
      </w:r>
      <w:r>
        <w:rPr>
          <w:rFonts w:ascii="Times New Roman" w:hAnsi="Times New Roman"/>
          <w:bCs/>
          <w:caps w:val="0"/>
          <w:sz w:val="32"/>
          <w:szCs w:val="32"/>
        </w:rPr>
        <w:t>10次；通过报纸、电视台、社区宣传栏等传统媒体及官方微博、微信公众号等新媒体积极开展环保宣传工作。</w:t>
      </w:r>
    </w:p>
    <w:p>
      <w:pPr>
        <w:widowControl w:val="0"/>
        <w:wordWrap/>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Cs/>
          <w:caps w:val="0"/>
          <w:sz w:val="32"/>
          <w:szCs w:val="32"/>
        </w:rPr>
        <w:t>此外还高质量完成第二次全国污染源普查工作。</w:t>
      </w:r>
    </w:p>
    <w:p>
      <w:pPr>
        <w:widowControl w:val="0"/>
        <w:wordWrap/>
        <w:snapToGrid/>
        <w:spacing w:line="240" w:lineRule="auto"/>
        <w:ind w:firstLine="632" w:firstLineChars="200"/>
        <w:jc w:val="both"/>
        <w:textAlignment w:val="auto"/>
        <w:outlineLvl w:val="2"/>
        <w:rPr>
          <w:rFonts w:hint="eastAsia" w:ascii="Times New Roman" w:hAnsi="Times New Roman" w:eastAsia="仿宋_GB2312" w:cs="仿宋_GB2312"/>
          <w:b/>
          <w:bCs/>
          <w:caps w:val="0"/>
          <w:sz w:val="32"/>
          <w:szCs w:val="32"/>
        </w:rPr>
      </w:pPr>
      <w:bookmarkStart w:id="14" w:name="_Toc88053793"/>
      <w:r>
        <w:rPr>
          <w:rFonts w:ascii="Times New Roman" w:hAnsi="Times New Roman"/>
          <w:b/>
          <w:bCs/>
          <w:caps w:val="0"/>
          <w:sz w:val="32"/>
          <w:szCs w:val="32"/>
        </w:rPr>
        <w:t>5</w:t>
      </w:r>
      <w:r>
        <w:rPr>
          <w:rFonts w:hint="eastAsia" w:ascii="仿宋_GB2312" w:hAnsi="仿宋_GB2312" w:eastAsia="仿宋_GB2312" w:cs="仿宋_GB2312"/>
          <w:b/>
          <w:bCs/>
          <w:caps w:val="0"/>
          <w:sz w:val="32"/>
          <w:szCs w:val="32"/>
          <w:lang w:val="en-US" w:eastAsia="zh-CN"/>
        </w:rPr>
        <w:t>.</w:t>
      </w:r>
      <w:r>
        <w:rPr>
          <w:rFonts w:hint="eastAsia" w:ascii="仿宋_GB2312" w:hAnsi="仿宋_GB2312" w:eastAsia="仿宋_GB2312" w:cs="仿宋_GB2312"/>
          <w:b/>
          <w:bCs/>
          <w:caps w:val="0"/>
          <w:sz w:val="32"/>
          <w:szCs w:val="32"/>
        </w:rPr>
        <w:t>实</w:t>
      </w:r>
      <w:r>
        <w:rPr>
          <w:rFonts w:hint="eastAsia" w:ascii="Times New Roman" w:hAnsi="Times New Roman" w:eastAsia="仿宋_GB2312" w:cs="仿宋_GB2312"/>
          <w:b/>
          <w:bCs/>
          <w:caps w:val="0"/>
          <w:sz w:val="32"/>
          <w:szCs w:val="32"/>
        </w:rPr>
        <w:t>行最严格的生态环境保护制度</w:t>
      </w:r>
      <w:bookmarkEnd w:id="14"/>
    </w:p>
    <w:p>
      <w:pPr>
        <w:widowControl w:val="0"/>
        <w:wordWrap/>
        <w:snapToGrid/>
        <w:spacing w:line="240" w:lineRule="auto"/>
        <w:ind w:firstLine="632" w:firstLineChars="200"/>
        <w:jc w:val="both"/>
        <w:textAlignment w:val="auto"/>
        <w:rPr>
          <w:rFonts w:hint="eastAsia" w:ascii="Times New Roman" w:hAnsi="Times New Roman" w:eastAsia="仿宋_GB2312" w:cs="仿宋_GB2312"/>
          <w:bCs/>
          <w:caps w:val="0"/>
          <w:sz w:val="32"/>
          <w:szCs w:val="32"/>
        </w:rPr>
      </w:pPr>
      <w:r>
        <w:rPr>
          <w:rFonts w:hint="eastAsia" w:ascii="Times New Roman" w:hAnsi="Times New Roman" w:eastAsia="仿宋_GB2312" w:cs="仿宋_GB2312"/>
          <w:bCs/>
          <w:caps w:val="0"/>
          <w:sz w:val="32"/>
          <w:szCs w:val="32"/>
        </w:rPr>
        <w:t>扎实开展环保目标责任考核工作。编制花都区年度环境保护目标任务书</w:t>
      </w:r>
      <w:r>
        <w:rPr>
          <w:rFonts w:hint="eastAsia" w:ascii="Times New Roman" w:hAnsi="Times New Roman" w:cs="仿宋_GB2312"/>
          <w:bCs/>
          <w:caps w:val="0"/>
          <w:sz w:val="32"/>
          <w:szCs w:val="32"/>
          <w:lang w:eastAsia="zh-CN"/>
        </w:rPr>
        <w:t>，</w:t>
      </w:r>
      <w:r>
        <w:rPr>
          <w:rFonts w:ascii="Times New Roman" w:hAnsi="Times New Roman"/>
          <w:bCs/>
          <w:caps w:val="0"/>
          <w:sz w:val="32"/>
          <w:szCs w:val="32"/>
        </w:rPr>
        <w:t>制定并印发了《广州市花都区环境保护目标责任考核办法》。</w:t>
      </w:r>
      <w:r>
        <w:rPr>
          <w:rFonts w:hint="eastAsia" w:ascii="Times New Roman" w:hAnsi="Times New Roman" w:eastAsia="仿宋_GB2312" w:cs="仿宋_GB2312"/>
          <w:bCs/>
          <w:sz w:val="32"/>
          <w:szCs w:val="32"/>
        </w:rPr>
        <w:t>我区2017、2018年度环境保护目标责任考核合格。</w:t>
      </w:r>
      <w:r>
        <w:rPr>
          <w:rFonts w:hint="eastAsia" w:ascii="Times New Roman" w:hAnsi="Times New Roman" w:eastAsia="仿宋_GB2312" w:cs="仿宋_GB2312"/>
          <w:bCs/>
          <w:caps w:val="0"/>
          <w:sz w:val="32"/>
          <w:szCs w:val="32"/>
        </w:rPr>
        <w:t>全力做好中央环保督察“回头看”和省环保督察反馈意见整改工作。</w:t>
      </w:r>
    </w:p>
    <w:p>
      <w:pPr>
        <w:widowControl w:val="0"/>
        <w:wordWrap/>
        <w:snapToGrid/>
        <w:spacing w:line="240" w:lineRule="auto"/>
        <w:ind w:firstLine="632" w:firstLineChars="200"/>
        <w:jc w:val="both"/>
        <w:textAlignment w:val="auto"/>
        <w:rPr>
          <w:rFonts w:hint="eastAsia" w:ascii="Times New Roman" w:hAnsi="Times New Roman" w:eastAsia="仿宋_GB2312" w:cs="仿宋_GB2312"/>
          <w:bCs/>
          <w:caps w:val="0"/>
          <w:sz w:val="32"/>
          <w:szCs w:val="32"/>
        </w:rPr>
      </w:pPr>
      <w:r>
        <w:rPr>
          <w:rFonts w:hint="eastAsia" w:ascii="Times New Roman" w:hAnsi="Times New Roman" w:eastAsia="仿宋_GB2312" w:cs="仿宋_GB2312"/>
          <w:bCs/>
          <w:caps w:val="0"/>
          <w:sz w:val="32"/>
          <w:szCs w:val="32"/>
        </w:rPr>
        <w:t>积极推进区域联防联控。会同佛山市南海区和三水区、清远市清城区建立联动治理机制，协调建立联席会议制度，定期协商佛山、清远两地召开白坭河治理联席会议，经过跨界合作已基本消除广佛、广清跨界区域城市建成区黑臭水体，河流断面及主要支涌水质基本消除劣</w:t>
      </w:r>
      <w:r>
        <w:rPr>
          <w:rFonts w:ascii="Times New Roman" w:hAnsi="Times New Roman"/>
          <w:bCs/>
          <w:caps w:val="0"/>
          <w:sz w:val="32"/>
          <w:szCs w:val="32"/>
        </w:rPr>
        <w:t>V</w:t>
      </w:r>
      <w:r>
        <w:rPr>
          <w:rFonts w:hint="eastAsia" w:ascii="Times New Roman" w:hAnsi="Times New Roman" w:eastAsia="仿宋_GB2312" w:cs="仿宋_GB2312"/>
          <w:bCs/>
          <w:caps w:val="0"/>
          <w:sz w:val="32"/>
          <w:szCs w:val="32"/>
        </w:rPr>
        <w:t>类。</w:t>
      </w:r>
    </w:p>
    <w:p>
      <w:pPr>
        <w:widowControl w:val="0"/>
        <w:wordWrap/>
        <w:snapToGrid/>
        <w:spacing w:line="240" w:lineRule="auto"/>
        <w:ind w:firstLine="632" w:firstLineChars="200"/>
        <w:jc w:val="both"/>
        <w:textAlignment w:val="auto"/>
        <w:rPr>
          <w:rFonts w:ascii="Times New Roman" w:hAnsi="Times New Roman"/>
          <w:bCs/>
          <w:caps w:val="0"/>
          <w:sz w:val="32"/>
          <w:szCs w:val="32"/>
        </w:rPr>
      </w:pPr>
      <w:r>
        <w:rPr>
          <w:rFonts w:hint="eastAsia" w:ascii="Times New Roman" w:hAnsi="Times New Roman" w:eastAsia="仿宋_GB2312" w:cs="仿宋_GB2312"/>
          <w:bCs/>
          <w:caps w:val="0"/>
          <w:sz w:val="32"/>
          <w:szCs w:val="32"/>
        </w:rPr>
        <w:t>落实“三线一单”空间管控体系。完成《花都区生态保护红线、环境质量底线、资源利用上线和生态环境准入清单研究报告》《花都区分类环境管控单元及生态环境准入清单》及相关图集编制工</w:t>
      </w:r>
      <w:r>
        <w:rPr>
          <w:rFonts w:ascii="Times New Roman" w:hAnsi="Times New Roman"/>
          <w:bCs/>
          <w:caps w:val="0"/>
          <w:sz w:val="32"/>
          <w:szCs w:val="32"/>
        </w:rPr>
        <w:t>作。</w:t>
      </w:r>
    </w:p>
    <w:p>
      <w:pPr>
        <w:widowControl w:val="0"/>
        <w:wordWrap/>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Cs/>
          <w:caps w:val="0"/>
          <w:sz w:val="32"/>
          <w:szCs w:val="32"/>
        </w:rPr>
        <w:t>认真做好排污许可证的核发工作。组织相关企业进行网上申报培训，同时督促企业完成执法报告和台账记录的填报，并组织各镇</w:t>
      </w:r>
      <w:r>
        <w:rPr>
          <w:rFonts w:hint="eastAsia"/>
          <w:bCs/>
          <w:caps w:val="0"/>
          <w:sz w:val="32"/>
          <w:szCs w:val="32"/>
          <w:lang w:eastAsia="zh-CN"/>
        </w:rPr>
        <w:t>（</w:t>
      </w:r>
      <w:r>
        <w:rPr>
          <w:rFonts w:ascii="Times New Roman" w:hAnsi="Times New Roman"/>
          <w:bCs/>
          <w:caps w:val="0"/>
          <w:sz w:val="32"/>
          <w:szCs w:val="32"/>
        </w:rPr>
        <w:t>街</w:t>
      </w:r>
      <w:r>
        <w:rPr>
          <w:rFonts w:hint="eastAsia"/>
          <w:bCs/>
          <w:caps w:val="0"/>
          <w:sz w:val="32"/>
          <w:szCs w:val="32"/>
          <w:lang w:eastAsia="zh-CN"/>
        </w:rPr>
        <w:t>）</w:t>
      </w:r>
      <w:r>
        <w:rPr>
          <w:rFonts w:ascii="Times New Roman" w:hAnsi="Times New Roman"/>
          <w:bCs/>
          <w:caps w:val="0"/>
          <w:sz w:val="32"/>
          <w:szCs w:val="32"/>
        </w:rPr>
        <w:t>环保专员进行关于办理国家版排污许可证业务的相关知识培训。</w:t>
      </w:r>
    </w:p>
    <w:p>
      <w:pPr>
        <w:widowControl w:val="0"/>
        <w:wordWrap/>
        <w:snapToGrid/>
        <w:spacing w:line="240" w:lineRule="auto"/>
        <w:ind w:firstLine="632" w:firstLineChars="200"/>
        <w:jc w:val="both"/>
        <w:textAlignment w:val="auto"/>
        <w:rPr>
          <w:rFonts w:ascii="Times New Roman" w:hAnsi="Times New Roman"/>
          <w:bCs/>
          <w:caps w:val="0"/>
          <w:sz w:val="32"/>
          <w:szCs w:val="32"/>
        </w:rPr>
      </w:pPr>
      <w:r>
        <w:rPr>
          <w:rFonts w:hint="eastAsia" w:ascii="Times New Roman" w:hAnsi="Times New Roman" w:eastAsia="仿宋_GB2312" w:cs="仿宋_GB2312"/>
          <w:bCs/>
          <w:caps w:val="0"/>
          <w:sz w:val="32"/>
          <w:szCs w:val="32"/>
        </w:rPr>
        <w:t>落实“放管服”精神，推进审批制度改革。</w:t>
      </w:r>
      <w:r>
        <w:rPr>
          <w:rFonts w:ascii="Times New Roman" w:hAnsi="Times New Roman"/>
          <w:bCs/>
          <w:caps w:val="0"/>
          <w:sz w:val="32"/>
          <w:szCs w:val="32"/>
        </w:rPr>
        <w:t>2020年5月</w:t>
      </w:r>
      <w:r>
        <w:rPr>
          <w:rFonts w:hint="eastAsia" w:ascii="Times New Roman" w:hAnsi="Times New Roman"/>
          <w:bCs/>
          <w:caps w:val="0"/>
          <w:sz w:val="32"/>
          <w:szCs w:val="32"/>
          <w:lang w:eastAsia="zh-CN"/>
        </w:rPr>
        <w:t>，</w:t>
      </w:r>
      <w:r>
        <w:rPr>
          <w:rFonts w:ascii="Times New Roman" w:hAnsi="Times New Roman"/>
          <w:bCs/>
          <w:caps w:val="0"/>
          <w:sz w:val="32"/>
          <w:szCs w:val="32"/>
        </w:rPr>
        <w:t>编制并印发</w:t>
      </w:r>
      <w:r>
        <w:rPr>
          <w:rFonts w:hint="eastAsia"/>
          <w:bCs/>
          <w:caps w:val="0"/>
          <w:sz w:val="32"/>
          <w:szCs w:val="32"/>
          <w:lang w:eastAsia="zh-CN"/>
        </w:rPr>
        <w:t>了</w:t>
      </w:r>
      <w:r>
        <w:rPr>
          <w:rFonts w:ascii="Times New Roman" w:hAnsi="Times New Roman"/>
          <w:bCs/>
          <w:caps w:val="0"/>
          <w:sz w:val="32"/>
          <w:szCs w:val="32"/>
        </w:rPr>
        <w:t>《广州市生态环境局花都区分局关于贯彻落实环评审批制度改革若干措施》。推进区域规划环评及环评审批告知承诺制，推动环评和排污许可证有效衔接，强化规范中介服务市场管理，提高环评行政服务能力，进一步推进容缺预审、容缺受理、绿色通道、技术审查与行政审批相分离等审批制度改革工作，切实提高办事效率。</w:t>
      </w:r>
    </w:p>
    <w:p>
      <w:pPr>
        <w:widowControl w:val="0"/>
        <w:wordWrap/>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Cs/>
          <w:caps w:val="0"/>
          <w:sz w:val="32"/>
          <w:szCs w:val="32"/>
        </w:rPr>
        <w:t>开展环境竞争力评价。邀请技术团队研讨花都区环境竞争力提升对策，编制《广州市生态环境局花都分局关于花都区环境竞争力提升对策的报告》，从劣势指标的角度分析存在的问题和困难，并提出对策建议。</w:t>
      </w:r>
    </w:p>
    <w:p>
      <w:pPr>
        <w:widowControl w:val="0"/>
        <w:wordWrap/>
        <w:snapToGrid/>
        <w:spacing w:line="240" w:lineRule="auto"/>
        <w:ind w:firstLine="632" w:firstLineChars="200"/>
        <w:jc w:val="both"/>
        <w:textAlignment w:val="auto"/>
        <w:rPr>
          <w:rFonts w:ascii="Times New Roman" w:hAnsi="Times New Roman"/>
          <w:bCs/>
          <w:caps w:val="0"/>
          <w:sz w:val="32"/>
          <w:szCs w:val="32"/>
        </w:rPr>
      </w:pPr>
      <w:r>
        <w:rPr>
          <w:rFonts w:hint="eastAsia"/>
          <w:bCs/>
          <w:caps w:val="0"/>
          <w:sz w:val="32"/>
          <w:szCs w:val="32"/>
          <w:lang w:eastAsia="zh-CN"/>
        </w:rPr>
        <w:t>探索</w:t>
      </w:r>
      <w:r>
        <w:rPr>
          <w:rFonts w:ascii="Times New Roman" w:hAnsi="Times New Roman"/>
          <w:bCs/>
          <w:caps w:val="0"/>
          <w:sz w:val="32"/>
          <w:szCs w:val="32"/>
        </w:rPr>
        <w:t>环境污染典型案件公益诉讼。2016年8月</w:t>
      </w:r>
      <w:r>
        <w:rPr>
          <w:rFonts w:hint="eastAsia"/>
          <w:bCs/>
          <w:caps w:val="0"/>
          <w:sz w:val="32"/>
          <w:szCs w:val="32"/>
          <w:lang w:eastAsia="zh-CN"/>
        </w:rPr>
        <w:t>，</w:t>
      </w:r>
      <w:r>
        <w:rPr>
          <w:rFonts w:ascii="Times New Roman" w:hAnsi="Times New Roman"/>
          <w:bCs/>
          <w:caps w:val="0"/>
          <w:sz w:val="32"/>
          <w:szCs w:val="32"/>
        </w:rPr>
        <w:t>查处广州市花都卫洁垃圾综合处理厂违法倾倒原生垃圾及筛下物造成环境污染事实案，并将案件移送</w:t>
      </w:r>
      <w:r>
        <w:rPr>
          <w:rFonts w:hint="eastAsia"/>
          <w:bCs/>
          <w:caps w:val="0"/>
          <w:sz w:val="32"/>
          <w:szCs w:val="32"/>
          <w:lang w:eastAsia="zh-CN"/>
        </w:rPr>
        <w:t>公安部门</w:t>
      </w:r>
      <w:r>
        <w:rPr>
          <w:rFonts w:ascii="Times New Roman" w:hAnsi="Times New Roman"/>
          <w:bCs/>
          <w:caps w:val="0"/>
          <w:spacing w:val="-6"/>
          <w:sz w:val="32"/>
          <w:szCs w:val="32"/>
        </w:rPr>
        <w:t>侦办</w:t>
      </w:r>
      <w:r>
        <w:rPr>
          <w:rFonts w:hint="eastAsia"/>
          <w:bCs/>
          <w:caps w:val="0"/>
          <w:spacing w:val="-6"/>
          <w:sz w:val="32"/>
          <w:szCs w:val="32"/>
          <w:lang w:eastAsia="zh-CN"/>
        </w:rPr>
        <w:t>；</w:t>
      </w:r>
      <w:r>
        <w:rPr>
          <w:rFonts w:ascii="Times New Roman" w:hAnsi="Times New Roman"/>
          <w:bCs/>
          <w:caps w:val="0"/>
          <w:spacing w:val="-6"/>
          <w:sz w:val="32"/>
          <w:szCs w:val="32"/>
        </w:rPr>
        <w:t>2017年2月</w:t>
      </w:r>
      <w:r>
        <w:rPr>
          <w:rFonts w:hint="eastAsia"/>
          <w:bCs/>
          <w:caps w:val="0"/>
          <w:spacing w:val="-6"/>
          <w:sz w:val="32"/>
          <w:szCs w:val="32"/>
          <w:lang w:eastAsia="zh-CN"/>
        </w:rPr>
        <w:t>，</w:t>
      </w:r>
      <w:r>
        <w:rPr>
          <w:rFonts w:ascii="Times New Roman" w:hAnsi="Times New Roman"/>
          <w:bCs/>
          <w:caps w:val="0"/>
          <w:spacing w:val="-6"/>
          <w:sz w:val="32"/>
          <w:szCs w:val="32"/>
        </w:rPr>
        <w:t>区公安分局向区检察院移送审查起诉</w:t>
      </w:r>
      <w:r>
        <w:rPr>
          <w:rFonts w:hint="eastAsia"/>
          <w:bCs/>
          <w:caps w:val="0"/>
          <w:spacing w:val="-6"/>
          <w:sz w:val="32"/>
          <w:szCs w:val="32"/>
          <w:lang w:eastAsia="zh-CN"/>
        </w:rPr>
        <w:t>，</w:t>
      </w:r>
      <w:r>
        <w:rPr>
          <w:rFonts w:ascii="Times New Roman" w:hAnsi="Times New Roman"/>
          <w:bCs/>
          <w:caps w:val="0"/>
          <w:spacing w:val="-6"/>
          <w:sz w:val="32"/>
          <w:szCs w:val="32"/>
        </w:rPr>
        <w:t>8月4日</w:t>
      </w:r>
      <w:r>
        <w:rPr>
          <w:rFonts w:hint="eastAsia" w:ascii="Times New Roman" w:hAnsi="Times New Roman"/>
          <w:bCs/>
          <w:caps w:val="0"/>
          <w:spacing w:val="-6"/>
          <w:sz w:val="32"/>
          <w:szCs w:val="32"/>
          <w:lang w:eastAsia="zh-CN"/>
        </w:rPr>
        <w:t>，</w:t>
      </w:r>
      <w:r>
        <w:rPr>
          <w:rFonts w:ascii="Times New Roman" w:hAnsi="Times New Roman"/>
          <w:bCs/>
          <w:caps w:val="0"/>
          <w:spacing w:val="-6"/>
          <w:sz w:val="32"/>
          <w:szCs w:val="32"/>
        </w:rPr>
        <w:t>区检察院向区法院提起公诉</w:t>
      </w:r>
      <w:r>
        <w:rPr>
          <w:rFonts w:ascii="Times New Roman" w:hAnsi="Times New Roman"/>
          <w:bCs/>
          <w:caps w:val="0"/>
          <w:sz w:val="32"/>
          <w:szCs w:val="32"/>
        </w:rPr>
        <w:t>。</w:t>
      </w:r>
    </w:p>
    <w:p>
      <w:pPr>
        <w:widowControl w:val="0"/>
        <w:wordWrap/>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Cs/>
          <w:caps w:val="0"/>
          <w:sz w:val="32"/>
          <w:szCs w:val="32"/>
        </w:rPr>
        <w:t>持续推进社会信用体系建设。一是积极开展省、市级信用评价。二是开展信用修复管理。自2018年启动信用修复管理以来，</w:t>
      </w:r>
      <w:r>
        <w:rPr>
          <w:rFonts w:hint="eastAsia"/>
          <w:bCs/>
          <w:caps w:val="0"/>
          <w:sz w:val="32"/>
          <w:szCs w:val="32"/>
          <w:lang w:eastAsia="zh-CN"/>
        </w:rPr>
        <w:t>市生态环境局花都分局</w:t>
      </w:r>
      <w:r>
        <w:rPr>
          <w:rFonts w:ascii="Times New Roman" w:hAnsi="Times New Roman"/>
          <w:bCs/>
          <w:caps w:val="0"/>
          <w:sz w:val="32"/>
          <w:szCs w:val="32"/>
        </w:rPr>
        <w:t>在分送行政处罚文件时，都会将《信用修复指南》分发给企业，</w:t>
      </w:r>
      <w:r>
        <w:rPr>
          <w:rFonts w:hint="eastAsia"/>
          <w:bCs/>
          <w:caps w:val="0"/>
          <w:sz w:val="32"/>
          <w:szCs w:val="32"/>
          <w:lang w:eastAsia="zh-CN"/>
        </w:rPr>
        <w:t>截至</w:t>
      </w:r>
      <w:r>
        <w:rPr>
          <w:rFonts w:ascii="Times New Roman" w:hAnsi="Times New Roman"/>
          <w:bCs/>
          <w:caps w:val="0"/>
          <w:sz w:val="32"/>
          <w:szCs w:val="32"/>
        </w:rPr>
        <w:t>2020年12月31日，每年主动申请信用修复的企业成倍增长。三是加强信用体系建设宣传工作。四是开展企业信用信息的应用。自2016</w:t>
      </w:r>
      <w:r>
        <w:rPr>
          <w:rFonts w:hint="eastAsia" w:ascii="Times New Roman" w:hAnsi="Times New Roman" w:eastAsia="仿宋_GB2312" w:cs="仿宋_GB2312"/>
          <w:bCs/>
          <w:caps w:val="0"/>
          <w:sz w:val="32"/>
          <w:szCs w:val="32"/>
        </w:rPr>
        <w:t>年以来，所有被</w:t>
      </w:r>
      <w:r>
        <w:rPr>
          <w:rFonts w:hint="eastAsia" w:ascii="Times New Roman" w:hAnsi="Times New Roman" w:cs="仿宋_GB2312"/>
          <w:bCs/>
          <w:caps w:val="0"/>
          <w:sz w:val="32"/>
          <w:szCs w:val="32"/>
          <w:lang w:eastAsia="zh-CN"/>
        </w:rPr>
        <w:t>市</w:t>
      </w:r>
      <w:r>
        <w:rPr>
          <w:rFonts w:hint="eastAsia" w:ascii="Times New Roman" w:hAnsi="Times New Roman" w:eastAsia="仿宋_GB2312" w:cs="仿宋_GB2312"/>
          <w:bCs/>
          <w:caps w:val="0"/>
          <w:sz w:val="32"/>
          <w:szCs w:val="32"/>
        </w:rPr>
        <w:t>生态环境</w:t>
      </w:r>
      <w:r>
        <w:rPr>
          <w:rFonts w:hint="eastAsia" w:ascii="Times New Roman" w:hAnsi="Times New Roman" w:cs="仿宋_GB2312"/>
          <w:bCs/>
          <w:caps w:val="0"/>
          <w:sz w:val="32"/>
          <w:szCs w:val="32"/>
          <w:lang w:eastAsia="zh-CN"/>
        </w:rPr>
        <w:t>局花都</w:t>
      </w:r>
      <w:r>
        <w:rPr>
          <w:rFonts w:hint="eastAsia" w:ascii="Times New Roman" w:hAnsi="Times New Roman" w:eastAsia="仿宋_GB2312" w:cs="仿宋_GB2312"/>
          <w:bCs/>
          <w:caps w:val="0"/>
          <w:sz w:val="32"/>
          <w:szCs w:val="32"/>
        </w:rPr>
        <w:t>分局</w:t>
      </w:r>
      <w:r>
        <w:rPr>
          <w:rFonts w:hint="eastAsia" w:ascii="Times New Roman" w:hAnsi="Times New Roman" w:cs="仿宋_GB2312"/>
          <w:bCs/>
          <w:caps w:val="0"/>
          <w:sz w:val="32"/>
          <w:szCs w:val="32"/>
          <w:lang w:eastAsia="zh-CN"/>
        </w:rPr>
        <w:t>处以</w:t>
      </w:r>
      <w:r>
        <w:rPr>
          <w:rFonts w:hint="eastAsia" w:ascii="Times New Roman" w:hAnsi="Times New Roman" w:eastAsia="仿宋_GB2312" w:cs="仿宋_GB2312"/>
          <w:bCs/>
          <w:caps w:val="0"/>
          <w:sz w:val="32"/>
          <w:szCs w:val="32"/>
        </w:rPr>
        <w:t>行政处罚</w:t>
      </w:r>
      <w:r>
        <w:rPr>
          <w:rFonts w:hint="eastAsia" w:ascii="Times New Roman" w:hAnsi="Times New Roman" w:cs="仿宋_GB2312"/>
          <w:bCs/>
          <w:caps w:val="0"/>
          <w:sz w:val="32"/>
          <w:szCs w:val="32"/>
          <w:lang w:eastAsia="zh-CN"/>
        </w:rPr>
        <w:t>的</w:t>
      </w:r>
      <w:r>
        <w:rPr>
          <w:rFonts w:hint="eastAsia" w:ascii="Times New Roman" w:hAnsi="Times New Roman" w:eastAsia="仿宋_GB2312" w:cs="仿宋_GB2312"/>
          <w:bCs/>
          <w:caps w:val="0"/>
          <w:sz w:val="32"/>
          <w:szCs w:val="32"/>
        </w:rPr>
        <w:t>企业</w:t>
      </w:r>
      <w:r>
        <w:rPr>
          <w:rFonts w:hint="eastAsia" w:ascii="Times New Roman" w:hAnsi="Times New Roman" w:cs="仿宋_GB2312"/>
          <w:bCs/>
          <w:caps w:val="0"/>
          <w:sz w:val="32"/>
          <w:szCs w:val="32"/>
          <w:lang w:eastAsia="zh-CN"/>
        </w:rPr>
        <w:t>的</w:t>
      </w:r>
      <w:r>
        <w:rPr>
          <w:rFonts w:hint="eastAsia" w:ascii="Times New Roman" w:hAnsi="Times New Roman" w:eastAsia="仿宋_GB2312" w:cs="仿宋_GB2312"/>
          <w:bCs/>
          <w:caps w:val="0"/>
          <w:sz w:val="32"/>
          <w:szCs w:val="32"/>
        </w:rPr>
        <w:t>处罚信息和企业完成信用修复的信息均会在“信用中国”和政府门户网站公示</w:t>
      </w:r>
      <w:r>
        <w:rPr>
          <w:rFonts w:hint="eastAsia" w:ascii="Times New Roman" w:hAnsi="Times New Roman" w:cs="仿宋_GB2312"/>
          <w:bCs/>
          <w:caps w:val="0"/>
          <w:sz w:val="32"/>
          <w:szCs w:val="32"/>
          <w:lang w:eastAsia="zh-CN"/>
        </w:rPr>
        <w:t>。</w:t>
      </w:r>
      <w:r>
        <w:rPr>
          <w:rFonts w:hint="eastAsia" w:ascii="Times New Roman" w:hAnsi="Times New Roman" w:eastAsia="仿宋_GB2312" w:cs="仿宋_GB2312"/>
          <w:bCs/>
          <w:caps w:val="0"/>
          <w:sz w:val="32"/>
          <w:szCs w:val="32"/>
        </w:rPr>
        <w:t>省</w:t>
      </w:r>
      <w:r>
        <w:rPr>
          <w:rFonts w:hint="eastAsia" w:ascii="Times New Roman" w:hAnsi="Times New Roman" w:cs="仿宋_GB2312"/>
          <w:bCs/>
          <w:caps w:val="0"/>
          <w:sz w:val="32"/>
          <w:szCs w:val="32"/>
          <w:lang w:eastAsia="zh-CN"/>
        </w:rPr>
        <w:t>、</w:t>
      </w:r>
      <w:r>
        <w:rPr>
          <w:rFonts w:hint="eastAsia" w:ascii="Times New Roman" w:hAnsi="Times New Roman" w:eastAsia="仿宋_GB2312" w:cs="仿宋_GB2312"/>
          <w:bCs/>
          <w:caps w:val="0"/>
          <w:sz w:val="32"/>
          <w:szCs w:val="32"/>
        </w:rPr>
        <w:t>市信用评价结果和修复结果会通过</w:t>
      </w:r>
      <w:r>
        <w:rPr>
          <w:rFonts w:ascii="Times New Roman" w:hAnsi="Times New Roman"/>
          <w:bCs/>
          <w:caps w:val="0"/>
          <w:sz w:val="32"/>
          <w:szCs w:val="32"/>
        </w:rPr>
        <w:t>OA平台</w:t>
      </w:r>
      <w:r>
        <w:rPr>
          <w:rFonts w:hint="eastAsia"/>
          <w:bCs/>
          <w:caps w:val="0"/>
          <w:sz w:val="32"/>
          <w:szCs w:val="32"/>
          <w:lang w:eastAsia="zh-CN"/>
        </w:rPr>
        <w:t>发送</w:t>
      </w:r>
      <w:r>
        <w:rPr>
          <w:rFonts w:ascii="Times New Roman" w:hAnsi="Times New Roman"/>
          <w:bCs/>
          <w:caps w:val="0"/>
          <w:sz w:val="32"/>
          <w:szCs w:val="32"/>
        </w:rPr>
        <w:t>到</w:t>
      </w:r>
      <w:r>
        <w:rPr>
          <w:rFonts w:hint="eastAsia"/>
          <w:bCs/>
          <w:caps w:val="0"/>
          <w:sz w:val="32"/>
          <w:szCs w:val="32"/>
          <w:lang w:eastAsia="zh-CN"/>
        </w:rPr>
        <w:t>需要</w:t>
      </w:r>
      <w:r>
        <w:rPr>
          <w:rFonts w:ascii="Times New Roman" w:hAnsi="Times New Roman"/>
          <w:bCs/>
          <w:caps w:val="0"/>
          <w:sz w:val="32"/>
          <w:szCs w:val="32"/>
        </w:rPr>
        <w:t>应用企业信用信息结果的</w:t>
      </w:r>
      <w:r>
        <w:rPr>
          <w:rFonts w:hint="eastAsia"/>
          <w:bCs/>
          <w:caps w:val="0"/>
          <w:sz w:val="32"/>
          <w:szCs w:val="32"/>
          <w:lang w:eastAsia="zh-CN"/>
        </w:rPr>
        <w:t>各</w:t>
      </w:r>
      <w:r>
        <w:rPr>
          <w:rFonts w:ascii="Times New Roman" w:hAnsi="Times New Roman"/>
          <w:bCs/>
          <w:caps w:val="0"/>
          <w:sz w:val="32"/>
          <w:szCs w:val="32"/>
        </w:rPr>
        <w:t>职能部门。2020</w:t>
      </w:r>
      <w:r>
        <w:rPr>
          <w:rFonts w:hint="eastAsia" w:ascii="Times New Roman" w:hAnsi="Times New Roman" w:eastAsia="仿宋_GB2312" w:cs="仿宋_GB2312"/>
          <w:bCs/>
          <w:caps w:val="0"/>
          <w:sz w:val="32"/>
          <w:szCs w:val="32"/>
        </w:rPr>
        <w:t>年</w:t>
      </w:r>
      <w:r>
        <w:rPr>
          <w:rFonts w:hint="eastAsia" w:ascii="Times New Roman" w:hAnsi="Times New Roman" w:cs="仿宋_GB2312"/>
          <w:bCs/>
          <w:caps w:val="0"/>
          <w:sz w:val="32"/>
          <w:szCs w:val="32"/>
          <w:lang w:eastAsia="zh-CN"/>
        </w:rPr>
        <w:t>，</w:t>
      </w:r>
      <w:r>
        <w:rPr>
          <w:rFonts w:hint="eastAsia" w:ascii="Times New Roman" w:hAnsi="Times New Roman" w:eastAsia="仿宋_GB2312" w:cs="仿宋_GB2312"/>
          <w:bCs/>
          <w:caps w:val="0"/>
          <w:sz w:val="32"/>
          <w:szCs w:val="32"/>
        </w:rPr>
        <w:t>共计约</w:t>
      </w:r>
      <w:r>
        <w:rPr>
          <w:rFonts w:ascii="Times New Roman" w:hAnsi="Times New Roman"/>
          <w:bCs/>
          <w:caps w:val="0"/>
          <w:sz w:val="32"/>
          <w:szCs w:val="32"/>
        </w:rPr>
        <w:t>190家企业被</w:t>
      </w:r>
      <w:r>
        <w:rPr>
          <w:rFonts w:hint="eastAsia"/>
          <w:bCs/>
          <w:caps w:val="0"/>
          <w:sz w:val="32"/>
          <w:szCs w:val="32"/>
          <w:lang w:eastAsia="zh-CN"/>
        </w:rPr>
        <w:t>相关职能部门</w:t>
      </w:r>
      <w:r>
        <w:rPr>
          <w:rFonts w:ascii="Times New Roman" w:hAnsi="Times New Roman"/>
          <w:bCs/>
          <w:caps w:val="0"/>
          <w:sz w:val="32"/>
          <w:szCs w:val="32"/>
        </w:rPr>
        <w:t>申请查询生态环境方面的信用信息情况。</w:t>
      </w:r>
    </w:p>
    <w:p>
      <w:pPr>
        <w:widowControl w:val="0"/>
        <w:wordWrap/>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Cs/>
          <w:caps w:val="0"/>
          <w:sz w:val="32"/>
          <w:szCs w:val="32"/>
        </w:rPr>
        <w:t>落实流域水环境生态保护补偿工作。积极配合广州市开展流域水环境生态保护补偿工作，2019年支付补偿资金194.44万元</w:t>
      </w:r>
      <w:r>
        <w:rPr>
          <w:rFonts w:hint="eastAsia"/>
          <w:bCs/>
          <w:caps w:val="0"/>
          <w:sz w:val="32"/>
          <w:szCs w:val="32"/>
          <w:lang w:eastAsia="zh-CN"/>
        </w:rPr>
        <w:t>。</w:t>
      </w:r>
      <w:r>
        <w:rPr>
          <w:rFonts w:ascii="Times New Roman" w:hAnsi="Times New Roman"/>
          <w:bCs/>
          <w:caps w:val="0"/>
          <w:sz w:val="32"/>
          <w:szCs w:val="32"/>
        </w:rPr>
        <w:t>2020年</w:t>
      </w:r>
      <w:r>
        <w:rPr>
          <w:rFonts w:hint="eastAsia"/>
          <w:bCs/>
          <w:caps w:val="0"/>
          <w:sz w:val="32"/>
          <w:szCs w:val="32"/>
          <w:lang w:eastAsia="zh-CN"/>
        </w:rPr>
        <w:t>，</w:t>
      </w:r>
      <w:r>
        <w:rPr>
          <w:rFonts w:ascii="Times New Roman" w:hAnsi="Times New Roman"/>
          <w:bCs/>
          <w:caps w:val="0"/>
          <w:sz w:val="32"/>
          <w:szCs w:val="32"/>
        </w:rPr>
        <w:t>流溪河李溪坝断面年度水质达Ⅱ类标准，达到考核目标，水质状况优，水质</w:t>
      </w:r>
      <w:r>
        <w:rPr>
          <w:rFonts w:hint="eastAsia"/>
          <w:bCs/>
          <w:caps w:val="0"/>
          <w:sz w:val="32"/>
          <w:szCs w:val="32"/>
          <w:lang w:eastAsia="zh-CN"/>
        </w:rPr>
        <w:t>同比</w:t>
      </w:r>
      <w:r>
        <w:rPr>
          <w:rFonts w:ascii="Times New Roman" w:hAnsi="Times New Roman"/>
          <w:bCs/>
          <w:caps w:val="0"/>
          <w:sz w:val="32"/>
          <w:szCs w:val="32"/>
        </w:rPr>
        <w:t>有所好转，2020年获得补偿资金258.9万元。</w:t>
      </w:r>
    </w:p>
    <w:p>
      <w:pPr>
        <w:widowControl w:val="0"/>
        <w:wordWrap/>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Cs/>
          <w:caps w:val="0"/>
          <w:sz w:val="32"/>
          <w:szCs w:val="32"/>
        </w:rPr>
        <w:t>及时处置信访投诉。坚持依法办理群众环保投诉信访案件，每月梳理一次环境治理情况，每季度</w:t>
      </w:r>
      <w:r>
        <w:rPr>
          <w:rFonts w:hint="eastAsia"/>
          <w:bCs/>
          <w:caps w:val="0"/>
          <w:sz w:val="32"/>
          <w:szCs w:val="32"/>
          <w:lang w:eastAsia="zh-CN"/>
        </w:rPr>
        <w:t>分析</w:t>
      </w:r>
      <w:r>
        <w:rPr>
          <w:rFonts w:ascii="Times New Roman" w:hAnsi="Times New Roman"/>
          <w:bCs/>
          <w:caps w:val="0"/>
          <w:sz w:val="32"/>
          <w:szCs w:val="32"/>
        </w:rPr>
        <w:t>一次环境信访投诉形势，设立1名信访投诉专职工作人员，负责环保信访投诉系统操作管理、来访接待及信息统计等工作，逐步建立和规范办理程序，加强请示报告，力争</w:t>
      </w:r>
      <w:r>
        <w:rPr>
          <w:rFonts w:hint="eastAsia"/>
          <w:bCs/>
          <w:caps w:val="0"/>
          <w:sz w:val="32"/>
          <w:szCs w:val="32"/>
          <w:lang w:eastAsia="zh-CN"/>
        </w:rPr>
        <w:t>有关情况得到</w:t>
      </w:r>
      <w:r>
        <w:rPr>
          <w:rFonts w:ascii="Times New Roman" w:hAnsi="Times New Roman"/>
          <w:bCs/>
          <w:caps w:val="0"/>
          <w:sz w:val="32"/>
          <w:szCs w:val="32"/>
        </w:rPr>
        <w:t>及时有效处置。</w:t>
      </w:r>
    </w:p>
    <w:p>
      <w:pPr>
        <w:widowControl w:val="0"/>
        <w:wordWrap/>
        <w:adjustRightInd/>
        <w:snapToGrid/>
        <w:spacing w:beforeLines="50" w:afterLines="50"/>
        <w:ind w:firstLine="632" w:firstLineChars="200"/>
        <w:textAlignment w:val="auto"/>
        <w:rPr>
          <w:rFonts w:hint="eastAsia" w:ascii="Times New Roman" w:hAnsi="Times New Roman" w:eastAsia="楷体_GB2312" w:cs="楷体_GB2312"/>
        </w:rPr>
      </w:pPr>
      <w:bookmarkStart w:id="15" w:name="_Toc88053794"/>
      <w:r>
        <w:rPr>
          <w:rFonts w:hint="eastAsia" w:ascii="Times New Roman" w:hAnsi="Times New Roman" w:eastAsia="楷体_GB2312" w:cs="楷体_GB2312"/>
        </w:rPr>
        <w:t>2.2重点工程建设总体进展</w:t>
      </w:r>
      <w:bookmarkEnd w:id="15"/>
    </w:p>
    <w:p>
      <w:pPr>
        <w:widowControl w:val="0"/>
        <w:wordWrap/>
        <w:adjustRightInd w:val="0"/>
        <w:snapToGrid/>
        <w:spacing w:line="240" w:lineRule="auto"/>
        <w:ind w:firstLine="632" w:firstLineChars="200"/>
        <w:jc w:val="both"/>
        <w:textAlignment w:val="auto"/>
        <w:outlineLvl w:val="2"/>
        <w:rPr>
          <w:rFonts w:hint="eastAsia" w:ascii="Times New Roman" w:hAnsi="Times New Roman" w:eastAsia="仿宋_GB2312" w:cs="仿宋_GB2312"/>
          <w:b/>
          <w:bCs/>
          <w:caps w:val="0"/>
          <w:sz w:val="32"/>
          <w:szCs w:val="32"/>
        </w:rPr>
      </w:pPr>
      <w:bookmarkStart w:id="16" w:name="_Toc88053795"/>
      <w:r>
        <w:rPr>
          <w:rFonts w:hint="default" w:ascii="Times New Roman" w:hAnsi="Times New Roman" w:eastAsia="仿宋_GB2312" w:cs="Times New Roman"/>
          <w:b/>
          <w:bCs/>
          <w:caps w:val="0"/>
          <w:sz w:val="32"/>
          <w:szCs w:val="32"/>
        </w:rPr>
        <w:t>1</w:t>
      </w:r>
      <w:r>
        <w:rPr>
          <w:rFonts w:hint="eastAsia" w:ascii="仿宋_GB2312" w:hAnsi="仿宋_GB2312" w:eastAsia="仿宋_GB2312" w:cs="仿宋_GB2312"/>
          <w:b/>
          <w:bCs/>
          <w:caps w:val="0"/>
          <w:sz w:val="32"/>
          <w:szCs w:val="32"/>
          <w:lang w:val="en-US" w:eastAsia="zh-CN"/>
        </w:rPr>
        <w:t>.</w:t>
      </w:r>
      <w:r>
        <w:rPr>
          <w:rFonts w:hint="eastAsia" w:ascii="仿宋_GB2312" w:hAnsi="仿宋_GB2312" w:eastAsia="仿宋_GB2312" w:cs="仿宋_GB2312"/>
          <w:b/>
          <w:bCs/>
          <w:caps w:val="0"/>
          <w:sz w:val="32"/>
          <w:szCs w:val="32"/>
        </w:rPr>
        <w:t>水环境</w:t>
      </w:r>
      <w:r>
        <w:rPr>
          <w:rFonts w:hint="eastAsia" w:ascii="Times New Roman" w:hAnsi="Times New Roman" w:eastAsia="仿宋_GB2312" w:cs="仿宋_GB2312"/>
          <w:b/>
          <w:bCs/>
          <w:caps w:val="0"/>
          <w:sz w:val="32"/>
          <w:szCs w:val="32"/>
        </w:rPr>
        <w:t>保护重点工程</w:t>
      </w:r>
      <w:bookmarkEnd w:id="16"/>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（1）集中式污水处理设施建设</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新华污水处理厂（一、二期）提标改造工程已完成。新华污水处理厂三期（10</w:t>
      </w:r>
      <w:r>
        <w:rPr>
          <w:rFonts w:hint="eastAsia" w:ascii="Times New Roman" w:hAnsi="Times New Roman" w:eastAsia="仿宋_GB2312" w:cs="仿宋_GB2312"/>
          <w:caps w:val="0"/>
          <w:sz w:val="32"/>
          <w:szCs w:val="32"/>
        </w:rPr>
        <w:t>万吨/天）</w:t>
      </w:r>
      <w:r>
        <w:rPr>
          <w:rFonts w:hint="eastAsia" w:ascii="Times New Roman" w:hAnsi="Times New Roman" w:cs="仿宋_GB2312"/>
          <w:caps w:val="0"/>
          <w:sz w:val="32"/>
          <w:szCs w:val="32"/>
          <w:lang w:eastAsia="zh-CN"/>
        </w:rPr>
        <w:t>、</w:t>
      </w:r>
      <w:r>
        <w:rPr>
          <w:rFonts w:hint="eastAsia" w:ascii="Times New Roman" w:hAnsi="Times New Roman" w:eastAsia="仿宋_GB2312" w:cs="仿宋_GB2312"/>
          <w:caps w:val="0"/>
          <w:sz w:val="32"/>
          <w:szCs w:val="32"/>
        </w:rPr>
        <w:t>狮岭污水处理厂二期（</w:t>
      </w:r>
      <w:r>
        <w:rPr>
          <w:rFonts w:ascii="Times New Roman" w:hAnsi="Times New Roman"/>
          <w:caps w:val="0"/>
          <w:sz w:val="32"/>
          <w:szCs w:val="32"/>
        </w:rPr>
        <w:t>7</w:t>
      </w:r>
      <w:r>
        <w:rPr>
          <w:rFonts w:hint="eastAsia" w:ascii="Times New Roman" w:hAnsi="Times New Roman" w:eastAsia="仿宋_GB2312" w:cs="仿宋_GB2312"/>
          <w:caps w:val="0"/>
          <w:sz w:val="32"/>
          <w:szCs w:val="32"/>
        </w:rPr>
        <w:t>万吨/天）工程已完成，新增污水处理规模</w:t>
      </w:r>
      <w:r>
        <w:rPr>
          <w:rFonts w:ascii="Times New Roman" w:hAnsi="Times New Roman"/>
          <w:caps w:val="0"/>
          <w:sz w:val="32"/>
          <w:szCs w:val="32"/>
        </w:rPr>
        <w:t>17</w:t>
      </w:r>
      <w:r>
        <w:rPr>
          <w:rFonts w:hint="eastAsia" w:ascii="Times New Roman" w:hAnsi="Times New Roman" w:eastAsia="仿宋_GB2312" w:cs="仿宋_GB2312"/>
          <w:caps w:val="0"/>
          <w:sz w:val="32"/>
          <w:szCs w:val="32"/>
        </w:rPr>
        <w:t>万吨/天。</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（2）河流整治工程</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包括花城街罗仙村排涝工程</w:t>
      </w:r>
      <w:r>
        <w:rPr>
          <w:rFonts w:hint="eastAsia"/>
          <w:caps w:val="0"/>
          <w:sz w:val="32"/>
          <w:szCs w:val="32"/>
          <w:lang w:eastAsia="zh-CN"/>
        </w:rPr>
        <w:t>、</w:t>
      </w:r>
      <w:r>
        <w:rPr>
          <w:rFonts w:ascii="Times New Roman" w:hAnsi="Times New Roman"/>
          <w:caps w:val="0"/>
          <w:sz w:val="32"/>
          <w:szCs w:val="32"/>
        </w:rPr>
        <w:t>三华涌综合整治工程（农新电排站至三华工业区段）</w:t>
      </w:r>
      <w:r>
        <w:rPr>
          <w:rFonts w:hint="eastAsia"/>
          <w:caps w:val="0"/>
          <w:sz w:val="32"/>
          <w:szCs w:val="32"/>
          <w:lang w:eastAsia="zh-CN"/>
        </w:rPr>
        <w:t>、</w:t>
      </w:r>
      <w:r>
        <w:rPr>
          <w:rFonts w:ascii="Times New Roman" w:hAnsi="Times New Roman"/>
          <w:caps w:val="0"/>
          <w:sz w:val="32"/>
          <w:szCs w:val="32"/>
        </w:rPr>
        <w:t>兴华涌综合整治工程</w:t>
      </w:r>
      <w:r>
        <w:rPr>
          <w:rFonts w:hint="eastAsia"/>
          <w:caps w:val="0"/>
          <w:sz w:val="32"/>
          <w:szCs w:val="32"/>
          <w:lang w:eastAsia="zh-CN"/>
        </w:rPr>
        <w:t>、</w:t>
      </w:r>
      <w:r>
        <w:rPr>
          <w:rFonts w:ascii="Times New Roman" w:hAnsi="Times New Roman"/>
          <w:caps w:val="0"/>
          <w:sz w:val="32"/>
          <w:szCs w:val="32"/>
        </w:rPr>
        <w:t>雅瑶涌支流整治工程</w:t>
      </w:r>
      <w:r>
        <w:rPr>
          <w:rFonts w:hint="eastAsia"/>
          <w:caps w:val="0"/>
          <w:sz w:val="32"/>
          <w:szCs w:val="32"/>
          <w:lang w:eastAsia="zh-CN"/>
        </w:rPr>
        <w:t>、</w:t>
      </w:r>
      <w:r>
        <w:rPr>
          <w:rFonts w:ascii="Times New Roman" w:hAnsi="Times New Roman"/>
          <w:caps w:val="0"/>
          <w:sz w:val="32"/>
          <w:szCs w:val="32"/>
        </w:rPr>
        <w:t>铁山河整治工程</w:t>
      </w:r>
      <w:r>
        <w:rPr>
          <w:rFonts w:hint="eastAsia"/>
          <w:caps w:val="0"/>
          <w:sz w:val="32"/>
          <w:szCs w:val="32"/>
          <w:lang w:eastAsia="zh-CN"/>
        </w:rPr>
        <w:t>、</w:t>
      </w:r>
      <w:r>
        <w:rPr>
          <w:rFonts w:ascii="Times New Roman" w:hAnsi="Times New Roman"/>
          <w:caps w:val="0"/>
          <w:sz w:val="32"/>
          <w:szCs w:val="32"/>
        </w:rPr>
        <w:t>广州白云国际机场场外排水清淤工程</w:t>
      </w:r>
      <w:r>
        <w:rPr>
          <w:rFonts w:hint="eastAsia"/>
          <w:caps w:val="0"/>
          <w:sz w:val="32"/>
          <w:szCs w:val="32"/>
          <w:lang w:eastAsia="zh-CN"/>
        </w:rPr>
        <w:t>、</w:t>
      </w:r>
      <w:r>
        <w:rPr>
          <w:rFonts w:ascii="Times New Roman" w:hAnsi="Times New Roman"/>
          <w:caps w:val="0"/>
          <w:sz w:val="32"/>
          <w:szCs w:val="32"/>
        </w:rPr>
        <w:t>田美河综合整治工程</w:t>
      </w:r>
      <w:r>
        <w:rPr>
          <w:rFonts w:hint="eastAsia"/>
          <w:caps w:val="0"/>
          <w:sz w:val="32"/>
          <w:szCs w:val="32"/>
          <w:lang w:eastAsia="zh-CN"/>
        </w:rPr>
        <w:t>、</w:t>
      </w:r>
      <w:r>
        <w:rPr>
          <w:rFonts w:ascii="Times New Roman" w:hAnsi="Times New Roman"/>
          <w:caps w:val="0"/>
          <w:sz w:val="32"/>
          <w:szCs w:val="32"/>
        </w:rPr>
        <w:t>铜鼓坑、大陵河、大迳河、大布迳河、机场西北排水渠、机场西中排水渠及铜鼓坑支流、铁山河支流、田美河支流、新街河支流等河流整治工程。</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（3）饮用水</w:t>
      </w:r>
      <w:r>
        <w:rPr>
          <w:rFonts w:hint="eastAsia" w:ascii="Times New Roman" w:hAnsi="Times New Roman"/>
          <w:caps w:val="0"/>
          <w:sz w:val="32"/>
          <w:szCs w:val="32"/>
        </w:rPr>
        <w:t>水</w:t>
      </w:r>
      <w:r>
        <w:rPr>
          <w:rFonts w:ascii="Times New Roman" w:hAnsi="Times New Roman"/>
          <w:caps w:val="0"/>
          <w:sz w:val="32"/>
          <w:szCs w:val="32"/>
        </w:rPr>
        <w:t>源水质保护工程</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已完成饮用水水源保护区界标、交通警示牌和宣传牌的建设</w:t>
      </w:r>
      <w:r>
        <w:rPr>
          <w:rFonts w:hint="eastAsia"/>
          <w:caps w:val="0"/>
          <w:sz w:val="32"/>
          <w:szCs w:val="32"/>
          <w:lang w:eastAsia="zh-CN"/>
        </w:rPr>
        <w:t>及</w:t>
      </w:r>
      <w:r>
        <w:rPr>
          <w:rFonts w:ascii="Times New Roman" w:hAnsi="Times New Roman"/>
          <w:caps w:val="0"/>
          <w:sz w:val="32"/>
          <w:szCs w:val="32"/>
        </w:rPr>
        <w:t>东部、石角水厂饮用水水源和秀全水库饮用水</w:t>
      </w:r>
      <w:r>
        <w:rPr>
          <w:rFonts w:hint="eastAsia" w:ascii="Times New Roman" w:hAnsi="Times New Roman"/>
          <w:caps w:val="0"/>
          <w:sz w:val="32"/>
          <w:szCs w:val="32"/>
        </w:rPr>
        <w:t>水</w:t>
      </w:r>
      <w:r>
        <w:rPr>
          <w:rFonts w:ascii="Times New Roman" w:hAnsi="Times New Roman"/>
          <w:caps w:val="0"/>
          <w:sz w:val="32"/>
          <w:szCs w:val="32"/>
        </w:rPr>
        <w:t>源一级保护区物理隔离设施建设。</w:t>
      </w:r>
    </w:p>
    <w:p>
      <w:pPr>
        <w:widowControl w:val="0"/>
        <w:wordWrap/>
        <w:adjustRightInd w:val="0"/>
        <w:snapToGrid/>
        <w:spacing w:line="240" w:lineRule="auto"/>
        <w:ind w:firstLine="632" w:firstLineChars="200"/>
        <w:jc w:val="both"/>
        <w:textAlignment w:val="auto"/>
        <w:outlineLvl w:val="2"/>
        <w:rPr>
          <w:rFonts w:hint="eastAsia" w:ascii="Times New Roman" w:hAnsi="Times New Roman" w:eastAsia="仿宋_GB2312" w:cs="仿宋_GB2312"/>
          <w:b/>
          <w:bCs/>
          <w:caps w:val="0"/>
          <w:sz w:val="32"/>
          <w:szCs w:val="32"/>
        </w:rPr>
      </w:pPr>
      <w:bookmarkStart w:id="17" w:name="_Toc88053796"/>
      <w:r>
        <w:rPr>
          <w:rFonts w:hint="eastAsia"/>
          <w:b/>
          <w:bCs/>
          <w:caps w:val="0"/>
          <w:sz w:val="32"/>
          <w:szCs w:val="32"/>
          <w:lang w:val="en-US" w:eastAsia="zh-CN"/>
        </w:rPr>
        <w:t>2</w:t>
      </w:r>
      <w:r>
        <w:rPr>
          <w:rFonts w:hint="eastAsia" w:ascii="仿宋_GB2312" w:hAnsi="仿宋_GB2312" w:eastAsia="仿宋_GB2312" w:cs="仿宋_GB2312"/>
          <w:b/>
          <w:bCs/>
          <w:caps w:val="0"/>
          <w:sz w:val="32"/>
          <w:szCs w:val="32"/>
          <w:lang w:val="en-US" w:eastAsia="zh-CN"/>
        </w:rPr>
        <w:t>.</w:t>
      </w:r>
      <w:r>
        <w:rPr>
          <w:rFonts w:hint="eastAsia" w:ascii="仿宋_GB2312" w:hAnsi="仿宋_GB2312" w:eastAsia="仿宋_GB2312" w:cs="仿宋_GB2312"/>
          <w:b/>
          <w:bCs/>
          <w:caps w:val="0"/>
          <w:sz w:val="32"/>
          <w:szCs w:val="32"/>
        </w:rPr>
        <w:t>大</w:t>
      </w:r>
      <w:r>
        <w:rPr>
          <w:rFonts w:hint="eastAsia" w:ascii="Times New Roman" w:hAnsi="Times New Roman" w:eastAsia="仿宋_GB2312" w:cs="仿宋_GB2312"/>
          <w:b/>
          <w:bCs/>
          <w:caps w:val="0"/>
          <w:sz w:val="32"/>
          <w:szCs w:val="32"/>
        </w:rPr>
        <w:t>气污染防治重点工程</w:t>
      </w:r>
      <w:bookmarkEnd w:id="17"/>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（1）燃煤、燃重油锅炉实施清洁能源改造</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为削减二氧化硫、氮氧化物等主要大气污染物排放，改善空</w:t>
      </w:r>
      <w:r>
        <w:rPr>
          <w:rFonts w:ascii="Times New Roman" w:hAnsi="Times New Roman"/>
          <w:caps w:val="0"/>
          <w:spacing w:val="-6"/>
          <w:sz w:val="32"/>
          <w:szCs w:val="32"/>
        </w:rPr>
        <w:t>气质量，分阶段实施燃煤燃重油锅炉淘汰及清洁能源改造</w:t>
      </w:r>
      <w:r>
        <w:rPr>
          <w:rFonts w:hint="eastAsia"/>
          <w:caps w:val="0"/>
          <w:spacing w:val="-6"/>
          <w:sz w:val="32"/>
          <w:szCs w:val="32"/>
          <w:lang w:eastAsia="zh-CN"/>
        </w:rPr>
        <w:t>，</w:t>
      </w:r>
      <w:r>
        <w:rPr>
          <w:rFonts w:ascii="Times New Roman" w:hAnsi="Times New Roman"/>
          <w:caps w:val="0"/>
          <w:spacing w:val="-6"/>
          <w:sz w:val="32"/>
          <w:szCs w:val="32"/>
        </w:rPr>
        <w:t>全区燃煤燃重油锅炉</w:t>
      </w:r>
      <w:r>
        <w:rPr>
          <w:rFonts w:hint="eastAsia"/>
          <w:caps w:val="0"/>
          <w:spacing w:val="-6"/>
          <w:sz w:val="32"/>
          <w:szCs w:val="32"/>
          <w:lang w:eastAsia="zh-CN"/>
        </w:rPr>
        <w:t>已于</w:t>
      </w:r>
      <w:r>
        <w:rPr>
          <w:rFonts w:ascii="Times New Roman" w:hAnsi="Times New Roman"/>
          <w:caps w:val="0"/>
          <w:spacing w:val="-6"/>
          <w:sz w:val="32"/>
          <w:szCs w:val="32"/>
        </w:rPr>
        <w:t>2019年底完成淘汰或清洁能源改造。</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（2）热电冷联供</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广东粤电花都天然气热电有限公司2×400MW</w:t>
      </w:r>
      <w:r>
        <w:rPr>
          <w:rFonts w:hint="eastAsia" w:ascii="Times New Roman" w:hAnsi="Times New Roman" w:eastAsia="仿宋_GB2312" w:cs="仿宋_GB2312"/>
          <w:caps w:val="0"/>
          <w:sz w:val="32"/>
          <w:szCs w:val="32"/>
        </w:rPr>
        <w:t>级燃气—蒸汽热电联产项目建设，有助于提高能源使用效率，进一步削减二氧化硫、氮氧化物等主要大气污染物排放，改善空气质量。目前，项目配套热网的飞旋橡胶园</w:t>
      </w:r>
      <w:r>
        <w:rPr>
          <w:rFonts w:hint="eastAsia" w:ascii="Times New Roman" w:hAnsi="Times New Roman" w:cs="仿宋_GB2312"/>
          <w:caps w:val="0"/>
          <w:sz w:val="32"/>
          <w:szCs w:val="32"/>
          <w:lang w:eastAsia="zh-CN"/>
        </w:rPr>
        <w:t>—</w:t>
      </w:r>
      <w:r>
        <w:rPr>
          <w:rFonts w:hint="eastAsia" w:ascii="Times New Roman" w:hAnsi="Times New Roman" w:eastAsia="仿宋_GB2312" w:cs="仿宋_GB2312"/>
          <w:caps w:val="0"/>
          <w:sz w:val="32"/>
          <w:szCs w:val="32"/>
        </w:rPr>
        <w:t>合进大道段完成安装</w:t>
      </w:r>
      <w:r>
        <w:rPr>
          <w:rFonts w:ascii="Times New Roman" w:hAnsi="Times New Roman"/>
          <w:caps w:val="0"/>
          <w:sz w:val="32"/>
          <w:szCs w:val="32"/>
        </w:rPr>
        <w:t>23%，主体工程的桩基工程冲孔灌注桩完成45%。</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（3）大气环境监测项目</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截至2019年，花都区环境空气自动监测站点共设置了5个点位，包括新华</w:t>
      </w:r>
      <w:r>
        <w:rPr>
          <w:rFonts w:hint="eastAsia"/>
          <w:caps w:val="0"/>
          <w:sz w:val="32"/>
          <w:szCs w:val="32"/>
          <w:lang w:eastAsia="zh-CN"/>
        </w:rPr>
        <w:t>街、</w:t>
      </w:r>
      <w:r>
        <w:rPr>
          <w:rFonts w:ascii="Times New Roman" w:hAnsi="Times New Roman"/>
          <w:caps w:val="0"/>
          <w:sz w:val="32"/>
          <w:szCs w:val="32"/>
        </w:rPr>
        <w:t>赤坭</w:t>
      </w:r>
      <w:r>
        <w:rPr>
          <w:rFonts w:hint="eastAsia"/>
          <w:caps w:val="0"/>
          <w:sz w:val="32"/>
          <w:szCs w:val="32"/>
          <w:lang w:eastAsia="zh-CN"/>
        </w:rPr>
        <w:t>镇</w:t>
      </w:r>
      <w:r>
        <w:rPr>
          <w:rFonts w:ascii="Times New Roman" w:hAnsi="Times New Roman"/>
          <w:caps w:val="0"/>
          <w:sz w:val="32"/>
          <w:szCs w:val="32"/>
        </w:rPr>
        <w:t>、花东</w:t>
      </w:r>
      <w:r>
        <w:rPr>
          <w:rFonts w:hint="eastAsia"/>
          <w:caps w:val="0"/>
          <w:sz w:val="32"/>
          <w:szCs w:val="32"/>
          <w:lang w:eastAsia="zh-CN"/>
        </w:rPr>
        <w:t>镇</w:t>
      </w:r>
      <w:r>
        <w:rPr>
          <w:rFonts w:ascii="Times New Roman" w:hAnsi="Times New Roman"/>
          <w:caps w:val="0"/>
          <w:sz w:val="32"/>
          <w:szCs w:val="32"/>
        </w:rPr>
        <w:t>、梯面</w:t>
      </w:r>
      <w:r>
        <w:rPr>
          <w:rFonts w:hint="eastAsia"/>
          <w:caps w:val="0"/>
          <w:sz w:val="32"/>
          <w:szCs w:val="32"/>
          <w:lang w:eastAsia="zh-CN"/>
        </w:rPr>
        <w:t>镇</w:t>
      </w:r>
      <w:r>
        <w:rPr>
          <w:rFonts w:ascii="Times New Roman" w:hAnsi="Times New Roman"/>
          <w:caps w:val="0"/>
          <w:sz w:val="32"/>
          <w:szCs w:val="32"/>
        </w:rPr>
        <w:t>，以及</w:t>
      </w:r>
      <w:r>
        <w:rPr>
          <w:rFonts w:hint="eastAsia"/>
          <w:caps w:val="0"/>
          <w:sz w:val="32"/>
          <w:szCs w:val="32"/>
          <w:lang w:eastAsia="zh-CN"/>
        </w:rPr>
        <w:t>市生态环境局花都分局</w:t>
      </w:r>
      <w:r>
        <w:rPr>
          <w:rFonts w:ascii="Times New Roman" w:hAnsi="Times New Roman"/>
          <w:caps w:val="0"/>
          <w:sz w:val="32"/>
          <w:szCs w:val="32"/>
        </w:rPr>
        <w:t>。其中</w:t>
      </w:r>
      <w:r>
        <w:rPr>
          <w:rFonts w:hint="eastAsia"/>
          <w:caps w:val="0"/>
          <w:sz w:val="32"/>
          <w:szCs w:val="32"/>
          <w:lang w:eastAsia="zh-CN"/>
        </w:rPr>
        <w:t>，</w:t>
      </w:r>
      <w:r>
        <w:rPr>
          <w:rFonts w:ascii="Times New Roman" w:hAnsi="Times New Roman"/>
          <w:caps w:val="0"/>
          <w:sz w:val="32"/>
          <w:szCs w:val="32"/>
        </w:rPr>
        <w:t>新华</w:t>
      </w:r>
      <w:r>
        <w:rPr>
          <w:rFonts w:hint="eastAsia"/>
          <w:caps w:val="0"/>
          <w:sz w:val="32"/>
          <w:szCs w:val="32"/>
          <w:lang w:eastAsia="zh-CN"/>
        </w:rPr>
        <w:t>街</w:t>
      </w:r>
      <w:r>
        <w:rPr>
          <w:rFonts w:ascii="Times New Roman" w:hAnsi="Times New Roman"/>
          <w:caps w:val="0"/>
          <w:sz w:val="32"/>
          <w:szCs w:val="32"/>
        </w:rPr>
        <w:t>测点为国控点</w:t>
      </w:r>
      <w:r>
        <w:rPr>
          <w:rFonts w:hint="eastAsia"/>
          <w:caps w:val="0"/>
          <w:sz w:val="32"/>
          <w:szCs w:val="32"/>
          <w:lang w:eastAsia="zh-CN"/>
        </w:rPr>
        <w:t>，</w:t>
      </w:r>
      <w:r>
        <w:rPr>
          <w:rFonts w:ascii="Times New Roman" w:hAnsi="Times New Roman"/>
          <w:caps w:val="0"/>
          <w:sz w:val="32"/>
          <w:szCs w:val="32"/>
        </w:rPr>
        <w:t>赤坭</w:t>
      </w:r>
      <w:r>
        <w:rPr>
          <w:rFonts w:hint="eastAsia"/>
          <w:caps w:val="0"/>
          <w:sz w:val="32"/>
          <w:szCs w:val="32"/>
          <w:lang w:eastAsia="zh-CN"/>
        </w:rPr>
        <w:t>镇</w:t>
      </w:r>
      <w:r>
        <w:rPr>
          <w:rFonts w:ascii="Times New Roman" w:hAnsi="Times New Roman"/>
          <w:caps w:val="0"/>
          <w:sz w:val="32"/>
          <w:szCs w:val="32"/>
        </w:rPr>
        <w:t>、花东</w:t>
      </w:r>
      <w:r>
        <w:rPr>
          <w:rFonts w:hint="eastAsia"/>
          <w:caps w:val="0"/>
          <w:sz w:val="32"/>
          <w:szCs w:val="32"/>
          <w:lang w:eastAsia="zh-CN"/>
        </w:rPr>
        <w:t>镇</w:t>
      </w:r>
      <w:r>
        <w:rPr>
          <w:rFonts w:ascii="Times New Roman" w:hAnsi="Times New Roman"/>
          <w:caps w:val="0"/>
          <w:sz w:val="32"/>
          <w:szCs w:val="32"/>
        </w:rPr>
        <w:t>、梯面</w:t>
      </w:r>
      <w:r>
        <w:rPr>
          <w:rFonts w:hint="eastAsia"/>
          <w:caps w:val="0"/>
          <w:sz w:val="32"/>
          <w:szCs w:val="32"/>
          <w:lang w:eastAsia="zh-CN"/>
        </w:rPr>
        <w:t>镇</w:t>
      </w:r>
      <w:r>
        <w:rPr>
          <w:rFonts w:hint="eastAsia"/>
          <w:caps w:val="0"/>
          <w:sz w:val="32"/>
          <w:szCs w:val="32"/>
          <w:lang w:val="en-US" w:eastAsia="zh-CN"/>
        </w:rPr>
        <w:t>3</w:t>
      </w:r>
      <w:r>
        <w:rPr>
          <w:rFonts w:ascii="Times New Roman" w:hAnsi="Times New Roman"/>
          <w:caps w:val="0"/>
          <w:sz w:val="32"/>
          <w:szCs w:val="32"/>
        </w:rPr>
        <w:t>个测点为市控点；</w:t>
      </w:r>
      <w:r>
        <w:rPr>
          <w:rFonts w:hint="eastAsia"/>
          <w:caps w:val="0"/>
          <w:sz w:val="32"/>
          <w:szCs w:val="32"/>
          <w:lang w:eastAsia="zh-CN"/>
        </w:rPr>
        <w:t>市</w:t>
      </w:r>
      <w:r>
        <w:rPr>
          <w:rFonts w:ascii="Times New Roman" w:hAnsi="Times New Roman"/>
          <w:caps w:val="0"/>
          <w:sz w:val="32"/>
          <w:szCs w:val="32"/>
        </w:rPr>
        <w:t>生态环境</w:t>
      </w:r>
      <w:r>
        <w:rPr>
          <w:rFonts w:hint="eastAsia"/>
          <w:caps w:val="0"/>
          <w:sz w:val="32"/>
          <w:szCs w:val="32"/>
          <w:lang w:eastAsia="zh-CN"/>
        </w:rPr>
        <w:t>局花都</w:t>
      </w:r>
      <w:r>
        <w:rPr>
          <w:rFonts w:ascii="Times New Roman" w:hAnsi="Times New Roman"/>
          <w:caps w:val="0"/>
          <w:sz w:val="32"/>
          <w:szCs w:val="32"/>
        </w:rPr>
        <w:t>分局测点为区控点。自动监测项目有</w:t>
      </w:r>
      <w:r>
        <w:rPr>
          <w:rFonts w:hint="eastAsia"/>
          <w:caps w:val="0"/>
          <w:sz w:val="32"/>
          <w:szCs w:val="32"/>
          <w:lang w:val="en-US" w:eastAsia="zh-CN"/>
        </w:rPr>
        <w:t>6</w:t>
      </w:r>
      <w:r>
        <w:rPr>
          <w:rFonts w:ascii="Times New Roman" w:hAnsi="Times New Roman"/>
          <w:caps w:val="0"/>
          <w:sz w:val="32"/>
          <w:szCs w:val="32"/>
        </w:rPr>
        <w:t>项：二氧化硫、二氧化氮、可吸入颗粒物、细颗粒物、臭氧、一氧化碳。大气环境监测网络建设基本完成。</w:t>
      </w:r>
    </w:p>
    <w:p>
      <w:pPr>
        <w:widowControl w:val="0"/>
        <w:wordWrap/>
        <w:adjustRightInd w:val="0"/>
        <w:snapToGrid/>
        <w:spacing w:line="240" w:lineRule="auto"/>
        <w:ind w:firstLine="632" w:firstLineChars="200"/>
        <w:jc w:val="both"/>
        <w:textAlignment w:val="auto"/>
        <w:outlineLvl w:val="2"/>
        <w:rPr>
          <w:rFonts w:ascii="Times New Roman" w:hAnsi="Times New Roman"/>
          <w:b/>
          <w:bCs/>
          <w:caps w:val="0"/>
          <w:sz w:val="32"/>
          <w:szCs w:val="32"/>
        </w:rPr>
      </w:pPr>
      <w:bookmarkStart w:id="18" w:name="_Toc88053797"/>
      <w:r>
        <w:rPr>
          <w:rFonts w:hint="eastAsia"/>
          <w:b/>
          <w:bCs/>
          <w:caps w:val="0"/>
          <w:sz w:val="32"/>
          <w:szCs w:val="32"/>
          <w:lang w:val="en-US" w:eastAsia="zh-CN"/>
        </w:rPr>
        <w:t>3</w:t>
      </w:r>
      <w:r>
        <w:rPr>
          <w:rFonts w:hint="eastAsia" w:ascii="仿宋_GB2312" w:hAnsi="仿宋_GB2312" w:eastAsia="仿宋_GB2312" w:cs="仿宋_GB2312"/>
          <w:b/>
          <w:bCs/>
          <w:caps w:val="0"/>
          <w:sz w:val="32"/>
          <w:szCs w:val="32"/>
          <w:lang w:val="en-US" w:eastAsia="zh-CN"/>
        </w:rPr>
        <w:t>.</w:t>
      </w:r>
      <w:r>
        <w:rPr>
          <w:rFonts w:hint="eastAsia" w:ascii="仿宋_GB2312" w:hAnsi="仿宋_GB2312" w:eastAsia="仿宋_GB2312" w:cs="仿宋_GB2312"/>
          <w:b/>
          <w:bCs/>
          <w:caps w:val="0"/>
          <w:sz w:val="32"/>
          <w:szCs w:val="32"/>
        </w:rPr>
        <w:t>广</w:t>
      </w:r>
      <w:r>
        <w:rPr>
          <w:rFonts w:hint="eastAsia" w:ascii="Times New Roman" w:hAnsi="Times New Roman" w:eastAsia="仿宋_GB2312" w:cs="仿宋_GB2312"/>
          <w:b/>
          <w:bCs/>
          <w:caps w:val="0"/>
          <w:sz w:val="32"/>
          <w:szCs w:val="32"/>
        </w:rPr>
        <w:t>州市第五资源热力电厂建设项目</w:t>
      </w:r>
      <w:bookmarkEnd w:id="18"/>
    </w:p>
    <w:p>
      <w:pPr>
        <w:widowControl w:val="0"/>
        <w:wordWrap/>
        <w:adjustRightInd w:val="0"/>
        <w:snapToGrid/>
        <w:spacing w:line="240" w:lineRule="auto"/>
        <w:ind w:firstLine="608" w:firstLineChars="200"/>
        <w:jc w:val="both"/>
        <w:textAlignment w:val="auto"/>
        <w:rPr>
          <w:rFonts w:ascii="Times New Roman" w:hAnsi="Times New Roman"/>
          <w:caps w:val="0"/>
          <w:sz w:val="32"/>
          <w:szCs w:val="32"/>
        </w:rPr>
      </w:pPr>
      <w:r>
        <w:rPr>
          <w:rFonts w:ascii="Times New Roman" w:hAnsi="Times New Roman"/>
          <w:caps w:val="0"/>
          <w:spacing w:val="-6"/>
          <w:sz w:val="32"/>
          <w:szCs w:val="32"/>
        </w:rPr>
        <w:t>广州市第五资源热力电厂建设项目设计处理规模2000</w:t>
      </w:r>
      <w:r>
        <w:rPr>
          <w:rFonts w:hint="eastAsia" w:ascii="Times New Roman" w:hAnsi="Times New Roman" w:eastAsia="仿宋_GB2312" w:cs="仿宋_GB2312"/>
          <w:caps w:val="0"/>
          <w:spacing w:val="-6"/>
          <w:sz w:val="32"/>
          <w:szCs w:val="32"/>
        </w:rPr>
        <w:t>吨/天</w:t>
      </w:r>
      <w:r>
        <w:rPr>
          <w:rFonts w:ascii="Times New Roman" w:hAnsi="Times New Roman"/>
          <w:caps w:val="0"/>
          <w:spacing w:val="-6"/>
          <w:sz w:val="32"/>
          <w:szCs w:val="32"/>
        </w:rPr>
        <w:t>，</w:t>
      </w:r>
      <w:r>
        <w:rPr>
          <w:rFonts w:ascii="Times New Roman" w:hAnsi="Times New Roman"/>
          <w:caps w:val="0"/>
          <w:sz w:val="32"/>
          <w:szCs w:val="32"/>
        </w:rPr>
        <w:t>该项目</w:t>
      </w:r>
      <w:r>
        <w:rPr>
          <w:rFonts w:hint="eastAsia"/>
          <w:caps w:val="0"/>
          <w:sz w:val="32"/>
          <w:szCs w:val="32"/>
          <w:lang w:eastAsia="zh-CN"/>
        </w:rPr>
        <w:t>已</w:t>
      </w:r>
      <w:r>
        <w:rPr>
          <w:rFonts w:ascii="Times New Roman" w:hAnsi="Times New Roman"/>
          <w:caps w:val="0"/>
          <w:sz w:val="32"/>
          <w:szCs w:val="32"/>
        </w:rPr>
        <w:t>于2018年11月试运营，2019年7月取得环评验收批复，2020年3月</w:t>
      </w:r>
      <w:r>
        <w:rPr>
          <w:rFonts w:hint="eastAsia"/>
          <w:caps w:val="0"/>
          <w:sz w:val="32"/>
          <w:szCs w:val="32"/>
          <w:lang w:eastAsia="zh-CN"/>
        </w:rPr>
        <w:t>投入</w:t>
      </w:r>
      <w:r>
        <w:rPr>
          <w:rFonts w:ascii="Times New Roman" w:hAnsi="Times New Roman"/>
          <w:caps w:val="0"/>
          <w:sz w:val="32"/>
          <w:szCs w:val="32"/>
        </w:rPr>
        <w:t>商业运营。截至2020年5月24日</w:t>
      </w:r>
      <w:r>
        <w:rPr>
          <w:rFonts w:hint="eastAsia"/>
          <w:caps w:val="0"/>
          <w:sz w:val="32"/>
          <w:szCs w:val="32"/>
          <w:lang w:eastAsia="zh-CN"/>
        </w:rPr>
        <w:t>，该</w:t>
      </w:r>
      <w:r>
        <w:rPr>
          <w:rFonts w:ascii="Times New Roman" w:hAnsi="Times New Roman"/>
          <w:caps w:val="0"/>
          <w:sz w:val="32"/>
          <w:szCs w:val="32"/>
        </w:rPr>
        <w:t>项目已累计处理垃圾约120.78万吨（含番禺区调度生活垃圾7473.94吨，越秀</w:t>
      </w:r>
      <w:r>
        <w:rPr>
          <w:rFonts w:hint="eastAsia"/>
          <w:caps w:val="0"/>
          <w:sz w:val="32"/>
          <w:szCs w:val="32"/>
          <w:lang w:eastAsia="zh-CN"/>
        </w:rPr>
        <w:t>区</w:t>
      </w:r>
      <w:r>
        <w:rPr>
          <w:rFonts w:ascii="Times New Roman" w:hAnsi="Times New Roman"/>
          <w:caps w:val="0"/>
          <w:sz w:val="32"/>
          <w:szCs w:val="32"/>
        </w:rPr>
        <w:t>餐厨垃圾4776.22吨）</w:t>
      </w:r>
      <w:r>
        <w:rPr>
          <w:rFonts w:hint="eastAsia"/>
          <w:caps w:val="0"/>
          <w:sz w:val="32"/>
          <w:szCs w:val="32"/>
          <w:lang w:eastAsia="zh-CN"/>
        </w:rPr>
        <w:t>；</w:t>
      </w:r>
      <w:r>
        <w:rPr>
          <w:rFonts w:ascii="Times New Roman" w:hAnsi="Times New Roman"/>
          <w:caps w:val="0"/>
          <w:sz w:val="32"/>
          <w:szCs w:val="32"/>
        </w:rPr>
        <w:t>上网电量5.16亿度</w:t>
      </w:r>
      <w:r>
        <w:rPr>
          <w:rFonts w:hint="eastAsia"/>
          <w:caps w:val="0"/>
          <w:sz w:val="32"/>
          <w:szCs w:val="32"/>
          <w:lang w:eastAsia="zh-CN"/>
        </w:rPr>
        <w:t>，</w:t>
      </w:r>
      <w:r>
        <w:rPr>
          <w:rFonts w:ascii="Times New Roman" w:hAnsi="Times New Roman"/>
          <w:caps w:val="0"/>
          <w:sz w:val="32"/>
          <w:szCs w:val="32"/>
        </w:rPr>
        <w:t>处理渗滤液约10.84万吨（含兴丰填埋场调度渗滤液2.79万吨），处理炉渣约20.95万吨，处置飞灰约4.09万吨。</w:t>
      </w:r>
    </w:p>
    <w:p>
      <w:pPr>
        <w:widowControl w:val="0"/>
        <w:wordWrap/>
        <w:adjustRightInd w:val="0"/>
        <w:snapToGrid/>
        <w:spacing w:line="240" w:lineRule="auto"/>
        <w:ind w:firstLine="632" w:firstLineChars="200"/>
        <w:jc w:val="both"/>
        <w:textAlignment w:val="auto"/>
        <w:outlineLvl w:val="2"/>
        <w:rPr>
          <w:rFonts w:ascii="Times New Roman" w:hAnsi="Times New Roman"/>
          <w:b/>
          <w:bCs/>
          <w:caps w:val="0"/>
          <w:sz w:val="32"/>
          <w:szCs w:val="32"/>
        </w:rPr>
      </w:pPr>
      <w:bookmarkStart w:id="19" w:name="_Toc88053798"/>
      <w:r>
        <w:rPr>
          <w:rFonts w:hint="eastAsia"/>
          <w:b/>
          <w:bCs/>
          <w:caps w:val="0"/>
          <w:sz w:val="32"/>
          <w:szCs w:val="32"/>
          <w:lang w:val="en-US" w:eastAsia="zh-CN"/>
        </w:rPr>
        <w:t>4</w:t>
      </w:r>
      <w:r>
        <w:rPr>
          <w:rFonts w:hint="eastAsia" w:ascii="仿宋_GB2312" w:hAnsi="仿宋_GB2312" w:eastAsia="仿宋_GB2312" w:cs="仿宋_GB2312"/>
          <w:b/>
          <w:bCs/>
          <w:caps w:val="0"/>
          <w:sz w:val="32"/>
          <w:szCs w:val="32"/>
          <w:lang w:val="en-US" w:eastAsia="zh-CN"/>
        </w:rPr>
        <w:t>.</w:t>
      </w:r>
      <w:r>
        <w:rPr>
          <w:rFonts w:hint="eastAsia" w:ascii="仿宋_GB2312" w:hAnsi="仿宋_GB2312" w:eastAsia="仿宋_GB2312" w:cs="仿宋_GB2312"/>
          <w:b/>
          <w:bCs/>
          <w:caps w:val="0"/>
          <w:sz w:val="32"/>
          <w:szCs w:val="32"/>
        </w:rPr>
        <w:t>生态</w:t>
      </w:r>
      <w:r>
        <w:rPr>
          <w:rFonts w:hint="eastAsia" w:ascii="Times New Roman" w:hAnsi="Times New Roman" w:eastAsia="仿宋_GB2312" w:cs="仿宋_GB2312"/>
          <w:b/>
          <w:bCs/>
          <w:caps w:val="0"/>
          <w:sz w:val="32"/>
          <w:szCs w:val="32"/>
        </w:rPr>
        <w:t>人居环境建设工程</w:t>
      </w:r>
      <w:bookmarkEnd w:id="19"/>
    </w:p>
    <w:p>
      <w:pPr>
        <w:widowControl w:val="0"/>
        <w:wordWrap/>
        <w:snapToGrid/>
        <w:spacing w:line="240" w:lineRule="auto"/>
        <w:ind w:firstLine="632" w:firstLineChars="200"/>
        <w:jc w:val="both"/>
        <w:textAlignment w:val="auto"/>
        <w:outlineLvl w:val="3"/>
        <w:rPr>
          <w:rFonts w:ascii="Times New Roman" w:hAnsi="Times New Roman"/>
          <w:caps w:val="0"/>
          <w:sz w:val="32"/>
          <w:szCs w:val="32"/>
        </w:rPr>
      </w:pPr>
      <w:r>
        <w:rPr>
          <w:rFonts w:ascii="Times New Roman" w:hAnsi="Times New Roman"/>
          <w:caps w:val="0"/>
          <w:sz w:val="32"/>
          <w:szCs w:val="32"/>
        </w:rPr>
        <w:t>（1）生态公益林保护与林分改造工程</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按照生态公益林的补偿政策，落实27万亩的生态公益林补偿，完成生态公益林改造350亩。改造完成王子山森林公园、高百丈森林公园、芙蓉旅游度假区及周边地区的生态公益林600亩，提</w:t>
      </w:r>
      <w:r>
        <w:rPr>
          <w:rFonts w:hint="eastAsia"/>
          <w:caps w:val="0"/>
          <w:sz w:val="32"/>
          <w:szCs w:val="32"/>
          <w:lang w:eastAsia="zh-CN"/>
        </w:rPr>
        <w:t>高</w:t>
      </w:r>
      <w:r>
        <w:rPr>
          <w:rFonts w:ascii="Times New Roman" w:hAnsi="Times New Roman"/>
          <w:caps w:val="0"/>
          <w:sz w:val="32"/>
          <w:szCs w:val="32"/>
        </w:rPr>
        <w:t>生态公益林质量，改善森林环境。</w:t>
      </w:r>
    </w:p>
    <w:p>
      <w:pPr>
        <w:widowControl w:val="0"/>
        <w:wordWrap/>
        <w:snapToGrid/>
        <w:spacing w:line="240" w:lineRule="auto"/>
        <w:ind w:firstLine="632" w:firstLineChars="200"/>
        <w:jc w:val="both"/>
        <w:textAlignment w:val="auto"/>
        <w:outlineLvl w:val="3"/>
        <w:rPr>
          <w:rFonts w:ascii="Times New Roman" w:hAnsi="Times New Roman"/>
          <w:caps w:val="0"/>
          <w:sz w:val="32"/>
          <w:szCs w:val="32"/>
        </w:rPr>
      </w:pPr>
      <w:r>
        <w:rPr>
          <w:rFonts w:ascii="Times New Roman" w:hAnsi="Times New Roman"/>
          <w:caps w:val="0"/>
          <w:sz w:val="32"/>
          <w:szCs w:val="32"/>
        </w:rPr>
        <w:t>（2）森林公园建设工程</w:t>
      </w:r>
    </w:p>
    <w:p>
      <w:pPr>
        <w:widowControl w:val="0"/>
        <w:wordWrap/>
        <w:snapToGrid/>
        <w:spacing w:line="240" w:lineRule="auto"/>
        <w:ind w:firstLine="632" w:firstLineChars="200"/>
        <w:jc w:val="both"/>
        <w:textAlignment w:val="auto"/>
        <w:outlineLvl w:val="3"/>
        <w:rPr>
          <w:rFonts w:ascii="Times New Roman" w:hAnsi="Times New Roman"/>
          <w:caps w:val="0"/>
          <w:sz w:val="32"/>
          <w:szCs w:val="32"/>
        </w:rPr>
      </w:pPr>
      <w:r>
        <w:rPr>
          <w:rFonts w:ascii="Times New Roman" w:hAnsi="Times New Roman"/>
          <w:caps w:val="0"/>
          <w:sz w:val="32"/>
          <w:szCs w:val="32"/>
        </w:rPr>
        <w:t>加强王子山森林公园、芙蓉旅游度假村和福源森林公园的森林巡查管理，有效防止破坏森林资源的违法行为发生，做好森林病虫害的治理防治工作。按照自然保护地优化整合的要求，整合九湾潭</w:t>
      </w:r>
      <w:r>
        <w:rPr>
          <w:rFonts w:hint="eastAsia"/>
          <w:caps w:val="0"/>
          <w:sz w:val="32"/>
          <w:szCs w:val="32"/>
          <w:lang w:eastAsia="zh-CN"/>
        </w:rPr>
        <w:t>、</w:t>
      </w:r>
      <w:r>
        <w:rPr>
          <w:rFonts w:ascii="Times New Roman" w:hAnsi="Times New Roman"/>
          <w:caps w:val="0"/>
          <w:sz w:val="32"/>
          <w:szCs w:val="32"/>
        </w:rPr>
        <w:t>蟾蜍石森林公园为一体的森林公园，已完成整合预案并上报省林业部门。</w:t>
      </w:r>
    </w:p>
    <w:p>
      <w:pPr>
        <w:widowControl w:val="0"/>
        <w:wordWrap/>
        <w:snapToGrid/>
        <w:spacing w:line="240" w:lineRule="auto"/>
        <w:ind w:firstLine="632" w:firstLineChars="200"/>
        <w:jc w:val="both"/>
        <w:textAlignment w:val="auto"/>
        <w:outlineLvl w:val="3"/>
        <w:rPr>
          <w:rFonts w:ascii="Times New Roman" w:hAnsi="Times New Roman"/>
          <w:caps w:val="0"/>
          <w:sz w:val="32"/>
          <w:szCs w:val="32"/>
        </w:rPr>
      </w:pPr>
      <w:r>
        <w:rPr>
          <w:rFonts w:ascii="Times New Roman" w:hAnsi="Times New Roman"/>
          <w:caps w:val="0"/>
          <w:sz w:val="32"/>
          <w:szCs w:val="32"/>
        </w:rPr>
        <w:t>（3）道路林带及节点建设工程</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2017年，</w:t>
      </w:r>
      <w:r>
        <w:rPr>
          <w:rFonts w:hint="eastAsia"/>
          <w:caps w:val="0"/>
          <w:sz w:val="32"/>
          <w:szCs w:val="32"/>
          <w:lang w:eastAsia="zh-CN"/>
        </w:rPr>
        <w:t>制</w:t>
      </w:r>
      <w:r>
        <w:rPr>
          <w:rFonts w:ascii="Times New Roman" w:hAnsi="Times New Roman"/>
          <w:caps w:val="0"/>
          <w:sz w:val="32"/>
          <w:szCs w:val="32"/>
        </w:rPr>
        <w:t>定了《花都区城市主题花景建设工作实施方案》，精心组织、严格把关，有侧重地开展城市主题花景建设。2016年种植开花乔木18000株，打造四季开花主题花景，丰富花之都内涵，擦亮花之都品牌。2017年种植主题花树10000</w:t>
      </w:r>
      <w:r>
        <w:rPr>
          <w:rFonts w:hint="eastAsia" w:ascii="Times New Roman" w:hAnsi="Times New Roman" w:eastAsia="仿宋_GB2312" w:cs="仿宋_GB2312"/>
          <w:caps w:val="0"/>
          <w:sz w:val="32"/>
          <w:szCs w:val="32"/>
        </w:rPr>
        <w:t>株，重点打造了花都湖、田美河“一河两岸”、城市主干道、高速公路出入口等一批有视觉冲击力、能聚焦、</w:t>
      </w:r>
      <w:r>
        <w:rPr>
          <w:rFonts w:hint="eastAsia" w:ascii="Times New Roman" w:hAnsi="Times New Roman" w:cs="仿宋_GB2312"/>
          <w:caps w:val="0"/>
          <w:sz w:val="32"/>
          <w:szCs w:val="32"/>
          <w:lang w:eastAsia="zh-CN"/>
        </w:rPr>
        <w:t>有</w:t>
      </w:r>
      <w:r>
        <w:rPr>
          <w:rFonts w:hint="eastAsia" w:ascii="Times New Roman" w:hAnsi="Times New Roman" w:eastAsia="仿宋_GB2312" w:cs="仿宋_GB2312"/>
          <w:caps w:val="0"/>
          <w:sz w:val="32"/>
          <w:szCs w:val="32"/>
        </w:rPr>
        <w:t>标识性的主题花景，为市民提供一年四季的观花选择。</w:t>
      </w:r>
      <w:r>
        <w:rPr>
          <w:rFonts w:ascii="Times New Roman" w:hAnsi="Times New Roman"/>
          <w:caps w:val="0"/>
          <w:sz w:val="32"/>
          <w:szCs w:val="32"/>
        </w:rPr>
        <w:t>2018年继续种植主题花树，形成处处有花、四季开花</w:t>
      </w:r>
      <w:r>
        <w:rPr>
          <w:rFonts w:hint="eastAsia"/>
          <w:caps w:val="0"/>
          <w:sz w:val="32"/>
          <w:szCs w:val="32"/>
          <w:lang w:eastAsia="zh-CN"/>
        </w:rPr>
        <w:t>、</w:t>
      </w:r>
      <w:r>
        <w:rPr>
          <w:rFonts w:ascii="Times New Roman" w:hAnsi="Times New Roman"/>
          <w:caps w:val="0"/>
          <w:sz w:val="32"/>
          <w:szCs w:val="32"/>
        </w:rPr>
        <w:t>聚焦赏花的花之都品牌效应。2019年完成5000</w:t>
      </w:r>
      <w:r>
        <w:rPr>
          <w:rFonts w:hint="eastAsia" w:ascii="Times New Roman" w:hAnsi="Times New Roman" w:eastAsia="仿宋_GB2312" w:cs="仿宋_GB2312"/>
          <w:caps w:val="0"/>
          <w:sz w:val="32"/>
          <w:szCs w:val="32"/>
        </w:rPr>
        <w:t>株开花乔木的种植。有序推进“花城花景”及“道路景观升级”工作。截</w:t>
      </w:r>
      <w:r>
        <w:rPr>
          <w:rFonts w:ascii="Times New Roman" w:hAnsi="Times New Roman"/>
          <w:caps w:val="0"/>
          <w:sz w:val="32"/>
          <w:szCs w:val="32"/>
        </w:rPr>
        <w:t>至2019</w:t>
      </w:r>
      <w:r>
        <w:rPr>
          <w:rFonts w:hint="eastAsia"/>
          <w:caps w:val="0"/>
          <w:sz w:val="32"/>
          <w:szCs w:val="32"/>
          <w:lang w:eastAsia="zh-CN"/>
        </w:rPr>
        <w:t>年，建成区的</w:t>
      </w:r>
      <w:r>
        <w:rPr>
          <w:rFonts w:ascii="Times New Roman" w:hAnsi="Times New Roman"/>
          <w:caps w:val="0"/>
          <w:sz w:val="32"/>
          <w:szCs w:val="32"/>
        </w:rPr>
        <w:t>人均公共绿地面积已达16.45%。</w:t>
      </w:r>
    </w:p>
    <w:p>
      <w:pPr>
        <w:widowControl w:val="0"/>
        <w:wordWrap/>
        <w:snapToGrid/>
        <w:spacing w:line="240" w:lineRule="auto"/>
        <w:ind w:firstLine="632" w:firstLineChars="200"/>
        <w:jc w:val="both"/>
        <w:textAlignment w:val="auto"/>
        <w:outlineLvl w:val="3"/>
        <w:rPr>
          <w:rFonts w:ascii="Times New Roman" w:hAnsi="Times New Roman"/>
          <w:caps w:val="0"/>
          <w:sz w:val="32"/>
          <w:szCs w:val="32"/>
        </w:rPr>
      </w:pPr>
      <w:r>
        <w:rPr>
          <w:rFonts w:ascii="Times New Roman" w:hAnsi="Times New Roman"/>
          <w:caps w:val="0"/>
          <w:sz w:val="32"/>
          <w:szCs w:val="32"/>
        </w:rPr>
        <w:t>（4）生态景观林带及绿道网络建设工程</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2018年</w:t>
      </w:r>
      <w:r>
        <w:rPr>
          <w:rFonts w:hint="eastAsia"/>
          <w:caps w:val="0"/>
          <w:sz w:val="32"/>
          <w:szCs w:val="32"/>
          <w:lang w:eastAsia="zh-CN"/>
        </w:rPr>
        <w:t>，</w:t>
      </w:r>
      <w:r>
        <w:rPr>
          <w:rFonts w:ascii="Times New Roman" w:hAnsi="Times New Roman"/>
          <w:caps w:val="0"/>
          <w:sz w:val="32"/>
          <w:szCs w:val="32"/>
        </w:rPr>
        <w:t>市林业和园林局下达我区绿道建设里程任务12公里</w:t>
      </w:r>
      <w:r>
        <w:rPr>
          <w:rFonts w:hint="eastAsia"/>
          <w:caps w:val="0"/>
          <w:sz w:val="32"/>
          <w:szCs w:val="32"/>
          <w:lang w:eastAsia="zh-CN"/>
        </w:rPr>
        <w:t>。</w:t>
      </w:r>
      <w:r>
        <w:rPr>
          <w:rFonts w:ascii="Times New Roman" w:hAnsi="Times New Roman"/>
          <w:caps w:val="0"/>
          <w:sz w:val="32"/>
          <w:szCs w:val="32"/>
          <w:highlight w:val="none"/>
        </w:rPr>
        <w:t>6号花城美景绿道</w:t>
      </w:r>
      <w:r>
        <w:rPr>
          <w:rFonts w:hint="eastAsia"/>
          <w:caps w:val="0"/>
          <w:sz w:val="32"/>
          <w:szCs w:val="32"/>
          <w:highlight w:val="none"/>
          <w:lang w:eastAsia="zh-CN"/>
        </w:rPr>
        <w:t>已于</w:t>
      </w:r>
      <w:r>
        <w:rPr>
          <w:rFonts w:ascii="Times New Roman" w:hAnsi="Times New Roman"/>
          <w:caps w:val="0"/>
          <w:sz w:val="32"/>
          <w:szCs w:val="32"/>
          <w:highlight w:val="none"/>
        </w:rPr>
        <w:t>2018年底前完工，全长约16.755公里</w:t>
      </w:r>
      <w:r>
        <w:rPr>
          <w:rFonts w:hint="eastAsia"/>
          <w:caps w:val="0"/>
          <w:sz w:val="32"/>
          <w:szCs w:val="32"/>
          <w:highlight w:val="none"/>
          <w:lang w:eastAsia="zh-CN"/>
        </w:rPr>
        <w:t>。</w:t>
      </w:r>
      <w:r>
        <w:rPr>
          <w:rFonts w:ascii="Times New Roman" w:hAnsi="Times New Roman"/>
          <w:caps w:val="0"/>
          <w:sz w:val="32"/>
          <w:szCs w:val="32"/>
        </w:rPr>
        <w:t>1号西部田园绿道已完工。2019</w:t>
      </w:r>
      <w:r>
        <w:rPr>
          <w:rFonts w:hint="eastAsia" w:ascii="Times New Roman" w:hAnsi="Times New Roman" w:eastAsia="仿宋_GB2312" w:cs="仿宋_GB2312"/>
          <w:caps w:val="0"/>
          <w:sz w:val="32"/>
          <w:szCs w:val="32"/>
        </w:rPr>
        <w:t>年，在芙蓉旅游度假区内(凝香园至芙蓉旅游度假区派出所段)新增绿道里程</w:t>
      </w:r>
      <w:r>
        <w:rPr>
          <w:rFonts w:ascii="Times New Roman" w:hAnsi="Times New Roman"/>
          <w:caps w:val="0"/>
          <w:sz w:val="32"/>
          <w:szCs w:val="32"/>
        </w:rPr>
        <w:t>5公里。</w:t>
      </w:r>
    </w:p>
    <w:p>
      <w:pPr>
        <w:widowControl w:val="0"/>
        <w:wordWrap/>
        <w:snapToGrid/>
        <w:spacing w:line="240" w:lineRule="auto"/>
        <w:ind w:firstLine="632" w:firstLineChars="200"/>
        <w:jc w:val="both"/>
        <w:textAlignment w:val="auto"/>
        <w:outlineLvl w:val="3"/>
        <w:rPr>
          <w:rFonts w:ascii="Times New Roman" w:hAnsi="Times New Roman"/>
          <w:caps w:val="0"/>
          <w:sz w:val="32"/>
          <w:szCs w:val="32"/>
        </w:rPr>
      </w:pPr>
      <w:r>
        <w:rPr>
          <w:rFonts w:ascii="Times New Roman" w:hAnsi="Times New Roman"/>
          <w:caps w:val="0"/>
          <w:sz w:val="32"/>
          <w:szCs w:val="32"/>
        </w:rPr>
        <w:t>（5）中心镇绿化建设工程</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2016年</w:t>
      </w:r>
      <w:r>
        <w:rPr>
          <w:rFonts w:hint="eastAsia"/>
          <w:caps w:val="0"/>
          <w:sz w:val="32"/>
          <w:szCs w:val="32"/>
          <w:lang w:eastAsia="zh-CN"/>
        </w:rPr>
        <w:t>—</w:t>
      </w:r>
      <w:r>
        <w:rPr>
          <w:rFonts w:ascii="Times New Roman" w:hAnsi="Times New Roman"/>
          <w:caps w:val="0"/>
          <w:sz w:val="32"/>
          <w:szCs w:val="32"/>
        </w:rPr>
        <w:t>2020年期间</w:t>
      </w:r>
      <w:r>
        <w:rPr>
          <w:rFonts w:hint="eastAsia"/>
          <w:caps w:val="0"/>
          <w:sz w:val="32"/>
          <w:szCs w:val="32"/>
          <w:lang w:eastAsia="zh-CN"/>
        </w:rPr>
        <w:t>，</w:t>
      </w:r>
      <w:r>
        <w:rPr>
          <w:rFonts w:ascii="Times New Roman" w:hAnsi="Times New Roman"/>
          <w:caps w:val="0"/>
          <w:sz w:val="32"/>
          <w:szCs w:val="32"/>
        </w:rPr>
        <w:t>完成了城区24条市政道路的绿化改造提升工作，107个重要节点路口渠化岛的微改造，加强推进城市主干道绿化景观提升工作。对肇花高速狮岭互通立交出入口、广清高速新华立交出入口、海㘵立交出入口进行绿化升级改造，以疏林草地的风格，选种常绿乡土树种，搭配开花乔木，实现通透、清爽、整洁有序的出入口门户景观。绿色金融街公园</w:t>
      </w:r>
      <w:r>
        <w:rPr>
          <w:rFonts w:hint="eastAsia"/>
          <w:caps w:val="0"/>
          <w:sz w:val="32"/>
          <w:szCs w:val="32"/>
          <w:lang w:eastAsia="zh-CN"/>
        </w:rPr>
        <w:t>园区建设</w:t>
      </w:r>
      <w:r>
        <w:rPr>
          <w:rFonts w:ascii="Times New Roman" w:hAnsi="Times New Roman"/>
          <w:caps w:val="0"/>
          <w:sz w:val="32"/>
          <w:szCs w:val="32"/>
        </w:rPr>
        <w:t>、绿化及给排水已全部完工，投入使用，成为绿色金融街一个标志性的小公园；迎宾大道隧道立体绿化工程，建设内容主要在迎宾大道东绿色金融街隧道、镜湖隧道两侧护栏挂花箱种植勒杜鹃。整体对城区主干道、城市广场、城市公园等进行了重点绿化。</w:t>
      </w:r>
    </w:p>
    <w:p>
      <w:pPr>
        <w:widowControl w:val="0"/>
        <w:wordWrap/>
        <w:snapToGrid/>
        <w:spacing w:line="240" w:lineRule="auto"/>
        <w:ind w:firstLine="632" w:firstLineChars="200"/>
        <w:jc w:val="both"/>
        <w:textAlignment w:val="auto"/>
        <w:outlineLvl w:val="3"/>
        <w:rPr>
          <w:rFonts w:ascii="Times New Roman" w:hAnsi="Times New Roman"/>
          <w:caps w:val="0"/>
          <w:sz w:val="32"/>
          <w:szCs w:val="32"/>
        </w:rPr>
      </w:pPr>
      <w:r>
        <w:rPr>
          <w:rFonts w:ascii="Times New Roman" w:hAnsi="Times New Roman"/>
          <w:caps w:val="0"/>
          <w:sz w:val="32"/>
          <w:szCs w:val="32"/>
        </w:rPr>
        <w:t>（6）花都湖建设工程</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花都湖三期工程已于2017年完成</w:t>
      </w:r>
      <w:r>
        <w:rPr>
          <w:rFonts w:hint="eastAsia"/>
          <w:caps w:val="0"/>
          <w:sz w:val="32"/>
          <w:szCs w:val="32"/>
          <w:lang w:eastAsia="zh-CN"/>
        </w:rPr>
        <w:t>，</w:t>
      </w:r>
      <w:r>
        <w:rPr>
          <w:rFonts w:ascii="Times New Roman" w:hAnsi="Times New Roman"/>
          <w:caps w:val="0"/>
          <w:sz w:val="32"/>
          <w:szCs w:val="32"/>
        </w:rPr>
        <w:t>四期正</w:t>
      </w:r>
      <w:r>
        <w:rPr>
          <w:rFonts w:hint="eastAsia"/>
          <w:caps w:val="0"/>
          <w:sz w:val="32"/>
          <w:szCs w:val="32"/>
          <w:lang w:eastAsia="zh-CN"/>
        </w:rPr>
        <w:t>在</w:t>
      </w:r>
      <w:r>
        <w:rPr>
          <w:rFonts w:ascii="Times New Roman" w:hAnsi="Times New Roman"/>
          <w:caps w:val="0"/>
          <w:sz w:val="32"/>
          <w:szCs w:val="32"/>
        </w:rPr>
        <w:t>有序推进。</w:t>
      </w:r>
    </w:p>
    <w:p>
      <w:pPr>
        <w:widowControl w:val="0"/>
        <w:wordWrap/>
        <w:snapToGrid/>
        <w:spacing w:line="240" w:lineRule="auto"/>
        <w:ind w:firstLine="632" w:firstLineChars="200"/>
        <w:jc w:val="both"/>
        <w:textAlignment w:val="auto"/>
        <w:outlineLvl w:val="2"/>
        <w:rPr>
          <w:rFonts w:ascii="Times New Roman" w:hAnsi="Times New Roman"/>
          <w:b w:val="0"/>
          <w:bCs w:val="0"/>
          <w:caps w:val="0"/>
          <w:sz w:val="32"/>
          <w:szCs w:val="32"/>
        </w:rPr>
      </w:pPr>
      <w:bookmarkStart w:id="20" w:name="_Toc88053799"/>
      <w:r>
        <w:rPr>
          <w:rFonts w:hint="eastAsia"/>
          <w:b/>
          <w:bCs/>
          <w:caps w:val="0"/>
          <w:sz w:val="32"/>
          <w:szCs w:val="32"/>
          <w:lang w:val="en-US" w:eastAsia="zh-CN"/>
        </w:rPr>
        <w:t>5</w:t>
      </w:r>
      <w:r>
        <w:rPr>
          <w:rFonts w:hint="eastAsia" w:ascii="仿宋_GB2312" w:hAnsi="仿宋_GB2312" w:eastAsia="仿宋_GB2312" w:cs="仿宋_GB2312"/>
          <w:b/>
          <w:bCs/>
          <w:caps w:val="0"/>
          <w:sz w:val="32"/>
          <w:szCs w:val="32"/>
          <w:lang w:val="en-US" w:eastAsia="zh-CN"/>
        </w:rPr>
        <w:t>.</w:t>
      </w:r>
      <w:r>
        <w:rPr>
          <w:rFonts w:hint="eastAsia" w:ascii="仿宋_GB2312" w:hAnsi="仿宋_GB2312" w:eastAsia="仿宋_GB2312" w:cs="仿宋_GB2312"/>
          <w:b/>
          <w:bCs/>
          <w:caps w:val="0"/>
          <w:sz w:val="32"/>
          <w:szCs w:val="32"/>
        </w:rPr>
        <w:t>农村和农</w:t>
      </w:r>
      <w:r>
        <w:rPr>
          <w:rFonts w:hint="eastAsia" w:ascii="Times New Roman" w:hAnsi="Times New Roman" w:eastAsia="仿宋_GB2312" w:cs="仿宋_GB2312"/>
          <w:b/>
          <w:bCs/>
          <w:caps w:val="0"/>
          <w:sz w:val="32"/>
          <w:szCs w:val="32"/>
        </w:rPr>
        <w:t>业环境保护重点工程</w:t>
      </w:r>
      <w:bookmarkEnd w:id="20"/>
    </w:p>
    <w:p>
      <w:pPr>
        <w:widowControl w:val="0"/>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建设展示广府民俗文化为主题的博物馆及附属设施</w:t>
      </w:r>
      <w:r>
        <w:rPr>
          <w:rFonts w:hint="eastAsia"/>
          <w:caps w:val="0"/>
          <w:sz w:val="32"/>
          <w:szCs w:val="32"/>
          <w:lang w:eastAsia="zh-CN"/>
        </w:rPr>
        <w:t>，</w:t>
      </w:r>
      <w:r>
        <w:rPr>
          <w:rFonts w:ascii="Times New Roman" w:hAnsi="Times New Roman"/>
          <w:caps w:val="0"/>
          <w:sz w:val="32"/>
          <w:szCs w:val="32"/>
        </w:rPr>
        <w:t>广州民俗博物馆（一期）主体馆工程已完工，馆内公用区域装修设计工作基本完成，工程结算和展览布展设计正在推进。</w:t>
      </w:r>
    </w:p>
    <w:p>
      <w:pPr>
        <w:widowControl w:val="0"/>
        <w:wordWrap/>
        <w:snapToGrid/>
        <w:spacing w:line="240" w:lineRule="auto"/>
        <w:ind w:firstLine="632" w:firstLineChars="200"/>
        <w:jc w:val="both"/>
        <w:textAlignment w:val="auto"/>
        <w:outlineLvl w:val="2"/>
        <w:rPr>
          <w:rFonts w:ascii="Times New Roman" w:hAnsi="Times New Roman"/>
          <w:b/>
          <w:bCs/>
          <w:caps w:val="0"/>
          <w:sz w:val="32"/>
          <w:szCs w:val="32"/>
        </w:rPr>
      </w:pPr>
      <w:bookmarkStart w:id="21" w:name="_Toc88053800"/>
      <w:r>
        <w:rPr>
          <w:rFonts w:hint="eastAsia"/>
          <w:b/>
          <w:bCs/>
          <w:caps w:val="0"/>
          <w:sz w:val="32"/>
          <w:szCs w:val="32"/>
          <w:lang w:val="en-US" w:eastAsia="zh-CN"/>
        </w:rPr>
        <w:t>6</w:t>
      </w:r>
      <w:r>
        <w:rPr>
          <w:rFonts w:hint="eastAsia" w:ascii="仿宋_GB2312" w:hAnsi="仿宋_GB2312" w:eastAsia="仿宋_GB2312" w:cs="仿宋_GB2312"/>
          <w:b/>
          <w:bCs/>
          <w:caps w:val="0"/>
          <w:sz w:val="32"/>
          <w:szCs w:val="32"/>
          <w:lang w:val="en-US" w:eastAsia="zh-CN"/>
        </w:rPr>
        <w:t>.</w:t>
      </w:r>
      <w:r>
        <w:rPr>
          <w:rFonts w:hint="eastAsia" w:ascii="仿宋_GB2312" w:hAnsi="仿宋_GB2312" w:eastAsia="仿宋_GB2312" w:cs="仿宋_GB2312"/>
          <w:b/>
          <w:bCs/>
          <w:caps w:val="0"/>
          <w:sz w:val="32"/>
          <w:szCs w:val="32"/>
        </w:rPr>
        <w:t>环保</w:t>
      </w:r>
      <w:r>
        <w:rPr>
          <w:rFonts w:hint="eastAsia" w:ascii="Times New Roman" w:hAnsi="Times New Roman" w:eastAsia="仿宋_GB2312" w:cs="仿宋_GB2312"/>
          <w:b/>
          <w:bCs/>
          <w:caps w:val="0"/>
          <w:sz w:val="32"/>
          <w:szCs w:val="32"/>
        </w:rPr>
        <w:t>系统能力建设</w:t>
      </w:r>
      <w:bookmarkEnd w:id="21"/>
    </w:p>
    <w:p>
      <w:pPr>
        <w:widowControl w:val="0"/>
        <w:wordWrap/>
        <w:snapToGrid/>
        <w:spacing w:line="240" w:lineRule="auto"/>
        <w:ind w:firstLine="632" w:firstLineChars="200"/>
        <w:jc w:val="both"/>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配合构建“多规合一”平台。创新性搭建“三线一单”</w:t>
      </w:r>
      <w:r>
        <w:rPr>
          <w:rFonts w:ascii="Times New Roman" w:hAnsi="Times New Roman"/>
          <w:caps w:val="0"/>
          <w:sz w:val="32"/>
          <w:szCs w:val="32"/>
        </w:rPr>
        <w:t>GIS平台，依托GIS</w:t>
      </w:r>
      <w:r>
        <w:rPr>
          <w:rFonts w:hint="eastAsia" w:ascii="Times New Roman" w:hAnsi="Times New Roman" w:eastAsia="仿宋_GB2312" w:cs="仿宋_GB2312"/>
          <w:caps w:val="0"/>
          <w:sz w:val="32"/>
          <w:szCs w:val="32"/>
        </w:rPr>
        <w:t>地理信息系统的采集、运算、分析等功能，配合搭建“多规合一”平台，实现“三线一单”划分成果数据化、动态化管理。</w:t>
      </w:r>
    </w:p>
    <w:p>
      <w:pPr>
        <w:widowControl w:val="0"/>
        <w:wordWrap/>
        <w:adjustRightInd/>
        <w:snapToGrid/>
        <w:spacing w:beforeLines="50" w:afterLines="50"/>
        <w:ind w:firstLine="632" w:firstLineChars="200"/>
        <w:textAlignment w:val="auto"/>
        <w:rPr>
          <w:rFonts w:hint="eastAsia" w:ascii="Times New Roman" w:hAnsi="Times New Roman" w:eastAsia="楷体_GB2312" w:cs="楷体_GB2312"/>
        </w:rPr>
      </w:pPr>
      <w:bookmarkStart w:id="22" w:name="_Toc88053801"/>
      <w:r>
        <w:rPr>
          <w:rFonts w:hint="eastAsia" w:ascii="Times New Roman" w:hAnsi="Times New Roman" w:eastAsia="楷体_GB2312" w:cs="楷体_GB2312"/>
        </w:rPr>
        <w:t>2.3指标完成情况</w:t>
      </w:r>
      <w:bookmarkEnd w:id="22"/>
    </w:p>
    <w:p>
      <w:pPr>
        <w:widowControl w:val="0"/>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《广州市花都区环境保护规划（2013</w:t>
      </w:r>
      <w:r>
        <w:rPr>
          <w:rFonts w:hint="eastAsia"/>
          <w:caps w:val="0"/>
          <w:sz w:val="32"/>
          <w:szCs w:val="32"/>
          <w:lang w:eastAsia="zh-CN"/>
        </w:rPr>
        <w:t>—</w:t>
      </w:r>
      <w:r>
        <w:rPr>
          <w:rFonts w:ascii="Times New Roman" w:hAnsi="Times New Roman"/>
          <w:caps w:val="0"/>
          <w:sz w:val="32"/>
          <w:szCs w:val="32"/>
        </w:rPr>
        <w:t>2020）》指标共22项，其中约束性指标4项，预期性指标18项。各项指标具体完成情况见表2.3</w:t>
      </w:r>
      <w:r>
        <w:rPr>
          <w:rFonts w:hint="eastAsia" w:ascii="Times New Roman" w:hAnsi="Times New Roman" w:eastAsia="仿宋_GB2312" w:cs="仿宋_GB2312"/>
          <w:caps w:val="0"/>
          <w:sz w:val="32"/>
          <w:szCs w:val="32"/>
        </w:rPr>
        <w:t>-</w:t>
      </w:r>
      <w:r>
        <w:rPr>
          <w:rFonts w:ascii="Times New Roman" w:hAnsi="Times New Roman"/>
          <w:caps w:val="0"/>
          <w:sz w:val="32"/>
          <w:szCs w:val="32"/>
        </w:rPr>
        <w:t>1。</w:t>
      </w:r>
    </w:p>
    <w:p>
      <w:pPr>
        <w:wordWrap/>
        <w:snapToGrid/>
        <w:spacing w:line="240" w:lineRule="auto"/>
        <w:jc w:val="center"/>
        <w:textAlignment w:val="auto"/>
        <w:rPr>
          <w:rFonts w:ascii="Times New Roman" w:hAnsi="Times New Roman"/>
          <w:caps w:val="0"/>
          <w:sz w:val="32"/>
          <w:szCs w:val="32"/>
        </w:rPr>
      </w:pPr>
      <w:r>
        <w:rPr>
          <w:rFonts w:hint="eastAsia" w:ascii="Times New Roman" w:hAnsi="Times New Roman" w:eastAsia="黑体" w:cs="黑体"/>
          <w:caps w:val="0"/>
          <w:sz w:val="32"/>
          <w:szCs w:val="32"/>
        </w:rPr>
        <w:t>表2.3-1</w:t>
      </w:r>
    </w:p>
    <w:tbl>
      <w:tblPr>
        <w:tblStyle w:val="20"/>
        <w:tblW w:w="9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
        <w:gridCol w:w="653"/>
        <w:gridCol w:w="2399"/>
        <w:gridCol w:w="1246"/>
        <w:gridCol w:w="841"/>
        <w:gridCol w:w="841"/>
        <w:gridCol w:w="972"/>
        <w:gridCol w:w="967"/>
        <w:gridCol w:w="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2" w:type="dxa"/>
            <w:vAlign w:val="center"/>
          </w:tcPr>
          <w:p>
            <w:pPr>
              <w:adjustRightInd w:val="0"/>
              <w:snapToGrid w:val="0"/>
              <w:jc w:val="center"/>
              <w:rPr>
                <w:rFonts w:ascii="Times New Roman" w:hAnsi="Times New Roman" w:eastAsia="黑体"/>
                <w:b w:val="0"/>
                <w:bCs w:val="0"/>
                <w:caps w:val="0"/>
                <w:snapToGrid w:val="0"/>
                <w:kern w:val="0"/>
                <w:sz w:val="24"/>
                <w:szCs w:val="21"/>
              </w:rPr>
            </w:pPr>
            <w:r>
              <w:rPr>
                <w:rFonts w:ascii="Times New Roman" w:hAnsi="Times New Roman" w:eastAsia="黑体"/>
                <w:b w:val="0"/>
                <w:bCs w:val="0"/>
                <w:caps w:val="0"/>
                <w:kern w:val="0"/>
                <w:sz w:val="24"/>
                <w:szCs w:val="21"/>
              </w:rPr>
              <w:t>类别</w:t>
            </w:r>
          </w:p>
        </w:tc>
        <w:tc>
          <w:tcPr>
            <w:tcW w:w="653" w:type="dxa"/>
            <w:vAlign w:val="center"/>
          </w:tcPr>
          <w:p>
            <w:pPr>
              <w:adjustRightInd w:val="0"/>
              <w:snapToGrid w:val="0"/>
              <w:jc w:val="center"/>
              <w:rPr>
                <w:rFonts w:ascii="Times New Roman" w:hAnsi="Times New Roman" w:eastAsia="黑体"/>
                <w:b w:val="0"/>
                <w:bCs w:val="0"/>
                <w:caps w:val="0"/>
                <w:snapToGrid w:val="0"/>
                <w:kern w:val="0"/>
                <w:sz w:val="24"/>
                <w:szCs w:val="21"/>
              </w:rPr>
            </w:pPr>
            <w:r>
              <w:rPr>
                <w:rFonts w:ascii="Times New Roman" w:hAnsi="Times New Roman" w:eastAsia="黑体"/>
                <w:b w:val="0"/>
                <w:bCs w:val="0"/>
                <w:caps w:val="0"/>
                <w:snapToGrid w:val="0"/>
                <w:kern w:val="0"/>
                <w:sz w:val="24"/>
                <w:szCs w:val="21"/>
              </w:rPr>
              <w:t>序号</w:t>
            </w:r>
          </w:p>
        </w:tc>
        <w:tc>
          <w:tcPr>
            <w:tcW w:w="2399" w:type="dxa"/>
            <w:vAlign w:val="center"/>
          </w:tcPr>
          <w:p>
            <w:pPr>
              <w:adjustRightInd w:val="0"/>
              <w:snapToGrid w:val="0"/>
              <w:jc w:val="center"/>
              <w:rPr>
                <w:rFonts w:ascii="Times New Roman" w:hAnsi="Times New Roman" w:eastAsia="黑体"/>
                <w:b w:val="0"/>
                <w:bCs w:val="0"/>
                <w:caps w:val="0"/>
                <w:snapToGrid w:val="0"/>
                <w:kern w:val="0"/>
                <w:sz w:val="24"/>
                <w:szCs w:val="21"/>
              </w:rPr>
            </w:pPr>
            <w:r>
              <w:rPr>
                <w:rFonts w:ascii="Times New Roman" w:hAnsi="Times New Roman" w:eastAsia="黑体"/>
                <w:b w:val="0"/>
                <w:bCs w:val="0"/>
                <w:caps w:val="0"/>
                <w:snapToGrid w:val="0"/>
                <w:kern w:val="0"/>
                <w:sz w:val="24"/>
                <w:szCs w:val="21"/>
              </w:rPr>
              <w:t>指标</w:t>
            </w:r>
          </w:p>
        </w:tc>
        <w:tc>
          <w:tcPr>
            <w:tcW w:w="1246" w:type="dxa"/>
            <w:vAlign w:val="center"/>
          </w:tcPr>
          <w:p>
            <w:pPr>
              <w:adjustRightInd w:val="0"/>
              <w:snapToGrid w:val="0"/>
              <w:jc w:val="center"/>
              <w:rPr>
                <w:rFonts w:ascii="Times New Roman" w:hAnsi="Times New Roman" w:eastAsia="黑体"/>
                <w:b w:val="0"/>
                <w:bCs w:val="0"/>
                <w:caps w:val="0"/>
                <w:snapToGrid w:val="0"/>
                <w:kern w:val="0"/>
                <w:sz w:val="24"/>
                <w:szCs w:val="21"/>
              </w:rPr>
            </w:pPr>
            <w:r>
              <w:rPr>
                <w:rFonts w:ascii="Times New Roman" w:hAnsi="Times New Roman" w:eastAsia="黑体"/>
                <w:b w:val="0"/>
                <w:bCs w:val="0"/>
                <w:caps w:val="0"/>
                <w:snapToGrid w:val="0"/>
                <w:kern w:val="0"/>
                <w:sz w:val="24"/>
                <w:szCs w:val="21"/>
              </w:rPr>
              <w:t>2011年</w:t>
            </w:r>
          </w:p>
        </w:tc>
        <w:tc>
          <w:tcPr>
            <w:tcW w:w="841" w:type="dxa"/>
            <w:vAlign w:val="center"/>
          </w:tcPr>
          <w:p>
            <w:pPr>
              <w:adjustRightInd w:val="0"/>
              <w:snapToGrid w:val="0"/>
              <w:jc w:val="center"/>
              <w:rPr>
                <w:rFonts w:ascii="Times New Roman" w:hAnsi="Times New Roman" w:eastAsia="黑体"/>
                <w:b w:val="0"/>
                <w:bCs w:val="0"/>
                <w:caps w:val="0"/>
                <w:snapToGrid w:val="0"/>
                <w:kern w:val="0"/>
                <w:sz w:val="24"/>
                <w:szCs w:val="21"/>
              </w:rPr>
            </w:pPr>
            <w:r>
              <w:rPr>
                <w:rFonts w:ascii="Times New Roman" w:hAnsi="Times New Roman" w:eastAsia="黑体"/>
                <w:b w:val="0"/>
                <w:bCs w:val="0"/>
                <w:caps w:val="0"/>
                <w:snapToGrid w:val="0"/>
                <w:kern w:val="0"/>
                <w:sz w:val="24"/>
                <w:szCs w:val="21"/>
              </w:rPr>
              <w:t>2015年</w:t>
            </w:r>
          </w:p>
        </w:tc>
        <w:tc>
          <w:tcPr>
            <w:tcW w:w="841" w:type="dxa"/>
            <w:vAlign w:val="center"/>
          </w:tcPr>
          <w:p>
            <w:pPr>
              <w:adjustRightInd w:val="0"/>
              <w:snapToGrid w:val="0"/>
              <w:jc w:val="center"/>
              <w:rPr>
                <w:rFonts w:ascii="Times New Roman" w:hAnsi="Times New Roman" w:eastAsia="黑体"/>
                <w:b w:val="0"/>
                <w:bCs w:val="0"/>
                <w:caps w:val="0"/>
                <w:snapToGrid w:val="0"/>
                <w:kern w:val="0"/>
                <w:sz w:val="24"/>
                <w:szCs w:val="21"/>
              </w:rPr>
            </w:pPr>
            <w:r>
              <w:rPr>
                <w:rFonts w:ascii="Times New Roman" w:hAnsi="Times New Roman" w:eastAsia="黑体"/>
                <w:b w:val="0"/>
                <w:bCs w:val="0"/>
                <w:caps w:val="0"/>
                <w:snapToGrid w:val="0"/>
                <w:kern w:val="0"/>
                <w:sz w:val="24"/>
                <w:szCs w:val="21"/>
              </w:rPr>
              <w:t>2020年</w:t>
            </w:r>
          </w:p>
        </w:tc>
        <w:tc>
          <w:tcPr>
            <w:tcW w:w="972" w:type="dxa"/>
            <w:vAlign w:val="center"/>
          </w:tcPr>
          <w:p>
            <w:pPr>
              <w:adjustRightInd w:val="0"/>
              <w:snapToGrid w:val="0"/>
              <w:jc w:val="center"/>
              <w:rPr>
                <w:rFonts w:ascii="Times New Roman" w:hAnsi="Times New Roman" w:eastAsia="黑体"/>
                <w:b w:val="0"/>
                <w:bCs w:val="0"/>
                <w:caps w:val="0"/>
                <w:snapToGrid w:val="0"/>
                <w:kern w:val="0"/>
                <w:sz w:val="24"/>
                <w:szCs w:val="21"/>
              </w:rPr>
            </w:pPr>
            <w:r>
              <w:rPr>
                <w:rFonts w:ascii="Times New Roman" w:hAnsi="Times New Roman" w:eastAsia="黑体"/>
                <w:b w:val="0"/>
                <w:bCs w:val="0"/>
                <w:caps w:val="0"/>
                <w:snapToGrid w:val="0"/>
                <w:kern w:val="0"/>
                <w:sz w:val="24"/>
                <w:szCs w:val="21"/>
              </w:rPr>
              <w:t>指标</w:t>
            </w:r>
          </w:p>
          <w:p>
            <w:pPr>
              <w:adjustRightInd w:val="0"/>
              <w:snapToGrid w:val="0"/>
              <w:jc w:val="center"/>
              <w:rPr>
                <w:rFonts w:ascii="Times New Roman" w:hAnsi="Times New Roman" w:eastAsia="黑体"/>
                <w:b w:val="0"/>
                <w:bCs w:val="0"/>
                <w:caps w:val="0"/>
                <w:snapToGrid w:val="0"/>
                <w:kern w:val="0"/>
                <w:sz w:val="24"/>
                <w:szCs w:val="21"/>
              </w:rPr>
            </w:pPr>
            <w:r>
              <w:rPr>
                <w:rFonts w:ascii="Times New Roman" w:hAnsi="Times New Roman" w:eastAsia="黑体"/>
                <w:b w:val="0"/>
                <w:bCs w:val="0"/>
                <w:caps w:val="0"/>
                <w:snapToGrid w:val="0"/>
                <w:kern w:val="0"/>
                <w:sz w:val="24"/>
                <w:szCs w:val="21"/>
              </w:rPr>
              <w:t>属性</w:t>
            </w:r>
          </w:p>
        </w:tc>
        <w:tc>
          <w:tcPr>
            <w:tcW w:w="967" w:type="dxa"/>
            <w:vAlign w:val="center"/>
          </w:tcPr>
          <w:p>
            <w:pPr>
              <w:adjustRightInd w:val="0"/>
              <w:snapToGrid w:val="0"/>
              <w:jc w:val="center"/>
              <w:rPr>
                <w:rFonts w:ascii="Times New Roman" w:hAnsi="Times New Roman" w:eastAsia="黑体"/>
                <w:b w:val="0"/>
                <w:bCs w:val="0"/>
                <w:caps w:val="0"/>
                <w:snapToGrid w:val="0"/>
                <w:kern w:val="0"/>
                <w:sz w:val="24"/>
                <w:szCs w:val="21"/>
              </w:rPr>
            </w:pPr>
            <w:r>
              <w:rPr>
                <w:rFonts w:ascii="Times New Roman" w:hAnsi="Times New Roman" w:eastAsia="黑体"/>
                <w:b w:val="0"/>
                <w:bCs w:val="0"/>
                <w:caps w:val="0"/>
                <w:snapToGrid w:val="0"/>
                <w:kern w:val="0"/>
                <w:sz w:val="24"/>
                <w:szCs w:val="21"/>
              </w:rPr>
              <w:t>现状值</w:t>
            </w:r>
          </w:p>
          <w:p>
            <w:pPr>
              <w:adjustRightInd w:val="0"/>
              <w:snapToGrid w:val="0"/>
              <w:jc w:val="center"/>
              <w:rPr>
                <w:rFonts w:ascii="Times New Roman" w:hAnsi="Times New Roman" w:eastAsia="黑体"/>
                <w:b w:val="0"/>
                <w:bCs w:val="0"/>
                <w:caps w:val="0"/>
                <w:snapToGrid w:val="0"/>
                <w:kern w:val="0"/>
                <w:sz w:val="24"/>
                <w:szCs w:val="21"/>
              </w:rPr>
            </w:pPr>
            <w:r>
              <w:rPr>
                <w:rFonts w:ascii="Times New Roman" w:hAnsi="Times New Roman" w:eastAsia="黑体"/>
                <w:b w:val="0"/>
                <w:bCs w:val="0"/>
                <w:caps w:val="0"/>
                <w:snapToGrid w:val="0"/>
                <w:kern w:val="0"/>
                <w:sz w:val="24"/>
                <w:szCs w:val="21"/>
              </w:rPr>
              <w:t>（2020年）</w:t>
            </w:r>
          </w:p>
        </w:tc>
        <w:tc>
          <w:tcPr>
            <w:tcW w:w="917" w:type="dxa"/>
            <w:vAlign w:val="center"/>
          </w:tcPr>
          <w:p>
            <w:pPr>
              <w:adjustRightInd w:val="0"/>
              <w:snapToGrid w:val="0"/>
              <w:jc w:val="center"/>
              <w:rPr>
                <w:rFonts w:ascii="Times New Roman" w:hAnsi="Times New Roman" w:eastAsia="黑体"/>
                <w:b w:val="0"/>
                <w:bCs w:val="0"/>
                <w:caps w:val="0"/>
                <w:snapToGrid w:val="0"/>
                <w:kern w:val="0"/>
                <w:sz w:val="24"/>
                <w:szCs w:val="21"/>
              </w:rPr>
            </w:pPr>
            <w:r>
              <w:rPr>
                <w:rFonts w:ascii="Times New Roman" w:hAnsi="Times New Roman" w:eastAsia="黑体"/>
                <w:b w:val="0"/>
                <w:bCs w:val="0"/>
                <w:caps w:val="0"/>
                <w:snapToGrid w:val="0"/>
                <w:kern w:val="0"/>
                <w:sz w:val="24"/>
                <w:szCs w:val="21"/>
              </w:rPr>
              <w:t>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dxa"/>
            <w:vMerge w:val="restart"/>
            <w:vAlign w:val="center"/>
          </w:tcPr>
          <w:p>
            <w:pPr>
              <w:widowControl w:val="0"/>
              <w:wordWrap/>
              <w:adjustRightInd w:val="0"/>
              <w:snapToGrid/>
              <w:spacing w:line="320" w:lineRule="exact"/>
              <w:jc w:val="center"/>
              <w:textAlignment w:val="auto"/>
              <w:rPr>
                <w:rFonts w:hint="eastAsia" w:ascii="Times New Roman" w:hAnsi="Times New Roman" w:eastAsia="黑体" w:cs="黑体"/>
                <w:caps w:val="0"/>
                <w:snapToGrid w:val="0"/>
                <w:kern w:val="0"/>
                <w:sz w:val="24"/>
                <w:szCs w:val="21"/>
              </w:rPr>
            </w:pPr>
            <w:r>
              <w:rPr>
                <w:rFonts w:hint="eastAsia" w:ascii="Times New Roman" w:hAnsi="Times New Roman" w:eastAsia="黑体" w:cs="黑体"/>
                <w:caps w:val="0"/>
                <w:snapToGrid w:val="0"/>
                <w:kern w:val="0"/>
                <w:sz w:val="24"/>
                <w:szCs w:val="21"/>
              </w:rPr>
              <w:t>环境质量</w:t>
            </w:r>
          </w:p>
        </w:tc>
        <w:tc>
          <w:tcPr>
            <w:tcW w:w="653" w:type="dxa"/>
            <w:vAlign w:val="center"/>
          </w:tcPr>
          <w:p>
            <w:pPr>
              <w:widowControl w:val="0"/>
              <w:wordWrap/>
              <w:adjustRightInd w:val="0"/>
              <w:snapToGrid/>
              <w:spacing w:line="320" w:lineRule="exact"/>
              <w:jc w:val="center"/>
              <w:textAlignment w:val="auto"/>
              <w:rPr>
                <w:rFonts w:ascii="Times New Roman" w:hAnsi="Times New Roman"/>
                <w:caps w:val="0"/>
                <w:snapToGrid w:val="0"/>
                <w:kern w:val="0"/>
                <w:sz w:val="21"/>
                <w:szCs w:val="21"/>
              </w:rPr>
            </w:pPr>
            <w:r>
              <w:rPr>
                <w:rFonts w:ascii="Times New Roman" w:hAnsi="Times New Roman"/>
                <w:caps w:val="0"/>
                <w:snapToGrid w:val="0"/>
                <w:kern w:val="0"/>
                <w:sz w:val="21"/>
                <w:szCs w:val="21"/>
              </w:rPr>
              <w:t>1</w:t>
            </w:r>
          </w:p>
        </w:tc>
        <w:tc>
          <w:tcPr>
            <w:tcW w:w="2399" w:type="dxa"/>
            <w:vAlign w:val="center"/>
          </w:tcPr>
          <w:p>
            <w:pPr>
              <w:widowControl w:val="0"/>
              <w:wordWrap/>
              <w:adjustRightInd w:val="0"/>
              <w:snapToGrid/>
              <w:spacing w:line="320" w:lineRule="exact"/>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环境空气质量达二级的天数占全年比例（%）（2012年标准）</w:t>
            </w:r>
          </w:p>
        </w:tc>
        <w:tc>
          <w:tcPr>
            <w:tcW w:w="1246"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78</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90</w:t>
            </w:r>
          </w:p>
        </w:tc>
        <w:tc>
          <w:tcPr>
            <w:tcW w:w="972"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预期性</w:t>
            </w:r>
          </w:p>
        </w:tc>
        <w:tc>
          <w:tcPr>
            <w:tcW w:w="96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91.3</w:t>
            </w:r>
          </w:p>
        </w:tc>
        <w:tc>
          <w:tcPr>
            <w:tcW w:w="91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dxa"/>
            <w:vMerge w:val="continue"/>
            <w:vAlign w:val="center"/>
          </w:tcPr>
          <w:p>
            <w:pPr>
              <w:widowControl w:val="0"/>
              <w:wordWrap/>
              <w:adjustRightInd w:val="0"/>
              <w:snapToGrid/>
              <w:spacing w:line="320" w:lineRule="exact"/>
              <w:jc w:val="center"/>
              <w:textAlignment w:val="auto"/>
              <w:rPr>
                <w:rFonts w:hint="eastAsia" w:ascii="Times New Roman" w:hAnsi="Times New Roman" w:eastAsia="黑体" w:cs="黑体"/>
                <w:caps w:val="0"/>
                <w:snapToGrid w:val="0"/>
                <w:kern w:val="0"/>
                <w:sz w:val="24"/>
                <w:szCs w:val="21"/>
              </w:rPr>
            </w:pPr>
          </w:p>
        </w:tc>
        <w:tc>
          <w:tcPr>
            <w:tcW w:w="653" w:type="dxa"/>
            <w:vAlign w:val="center"/>
          </w:tcPr>
          <w:p>
            <w:pPr>
              <w:widowControl w:val="0"/>
              <w:wordWrap/>
              <w:adjustRightInd w:val="0"/>
              <w:snapToGrid/>
              <w:spacing w:line="320" w:lineRule="exact"/>
              <w:jc w:val="center"/>
              <w:textAlignment w:val="auto"/>
              <w:rPr>
                <w:rFonts w:ascii="Times New Roman" w:hAnsi="Times New Roman"/>
                <w:caps w:val="0"/>
                <w:snapToGrid w:val="0"/>
                <w:kern w:val="0"/>
                <w:sz w:val="21"/>
                <w:szCs w:val="21"/>
              </w:rPr>
            </w:pPr>
            <w:r>
              <w:rPr>
                <w:rFonts w:ascii="Times New Roman" w:hAnsi="Times New Roman"/>
                <w:caps w:val="0"/>
                <w:snapToGrid w:val="0"/>
                <w:kern w:val="0"/>
                <w:sz w:val="21"/>
                <w:szCs w:val="21"/>
              </w:rPr>
              <w:t>2</w:t>
            </w:r>
          </w:p>
        </w:tc>
        <w:tc>
          <w:tcPr>
            <w:tcW w:w="2399" w:type="dxa"/>
            <w:vAlign w:val="center"/>
          </w:tcPr>
          <w:p>
            <w:pPr>
              <w:widowControl w:val="0"/>
              <w:wordWrap/>
              <w:adjustRightInd w:val="0"/>
              <w:snapToGrid/>
              <w:spacing w:line="320" w:lineRule="exact"/>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PM</w:t>
            </w:r>
            <w:r>
              <w:rPr>
                <w:rFonts w:ascii="Times New Roman" w:hAnsi="Times New Roman" w:eastAsia="宋体"/>
                <w:caps w:val="0"/>
                <w:snapToGrid w:val="0"/>
                <w:kern w:val="0"/>
                <w:sz w:val="21"/>
                <w:szCs w:val="21"/>
                <w:vertAlign w:val="subscript"/>
              </w:rPr>
              <w:t>2.5</w:t>
            </w:r>
            <w:r>
              <w:rPr>
                <w:rFonts w:ascii="Times New Roman" w:hAnsi="Times New Roman" w:eastAsia="宋体"/>
                <w:caps w:val="0"/>
                <w:snapToGrid w:val="0"/>
                <w:kern w:val="0"/>
                <w:sz w:val="21"/>
                <w:szCs w:val="21"/>
              </w:rPr>
              <w:t>的年均浓度（μg/m</w:t>
            </w:r>
            <w:r>
              <w:rPr>
                <w:rFonts w:ascii="Times New Roman" w:hAnsi="Times New Roman" w:eastAsia="宋体"/>
                <w:caps w:val="0"/>
                <w:snapToGrid w:val="0"/>
                <w:kern w:val="0"/>
                <w:sz w:val="21"/>
                <w:szCs w:val="21"/>
                <w:vertAlign w:val="superscript"/>
              </w:rPr>
              <w:t>3</w:t>
            </w:r>
            <w:r>
              <w:rPr>
                <w:rFonts w:ascii="Times New Roman" w:hAnsi="Times New Roman" w:eastAsia="宋体"/>
                <w:caps w:val="0"/>
                <w:snapToGrid w:val="0"/>
                <w:kern w:val="0"/>
                <w:sz w:val="21"/>
                <w:szCs w:val="21"/>
              </w:rPr>
              <w:t>）</w:t>
            </w:r>
          </w:p>
        </w:tc>
        <w:tc>
          <w:tcPr>
            <w:tcW w:w="1246"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45</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42.5</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35</w:t>
            </w:r>
          </w:p>
        </w:tc>
        <w:tc>
          <w:tcPr>
            <w:tcW w:w="972"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预期性</w:t>
            </w:r>
          </w:p>
        </w:tc>
        <w:tc>
          <w:tcPr>
            <w:tcW w:w="96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23</w:t>
            </w:r>
          </w:p>
        </w:tc>
        <w:tc>
          <w:tcPr>
            <w:tcW w:w="91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2" w:type="dxa"/>
            <w:vMerge w:val="continue"/>
            <w:vAlign w:val="center"/>
          </w:tcPr>
          <w:p>
            <w:pPr>
              <w:widowControl w:val="0"/>
              <w:wordWrap/>
              <w:adjustRightInd w:val="0"/>
              <w:snapToGrid/>
              <w:spacing w:line="320" w:lineRule="exact"/>
              <w:jc w:val="center"/>
              <w:textAlignment w:val="auto"/>
              <w:rPr>
                <w:rFonts w:hint="eastAsia" w:ascii="Times New Roman" w:hAnsi="Times New Roman" w:eastAsia="黑体" w:cs="黑体"/>
                <w:caps w:val="0"/>
                <w:snapToGrid w:val="0"/>
                <w:kern w:val="0"/>
                <w:sz w:val="24"/>
                <w:szCs w:val="21"/>
              </w:rPr>
            </w:pPr>
          </w:p>
        </w:tc>
        <w:tc>
          <w:tcPr>
            <w:tcW w:w="653" w:type="dxa"/>
            <w:vAlign w:val="center"/>
          </w:tcPr>
          <w:p>
            <w:pPr>
              <w:widowControl w:val="0"/>
              <w:wordWrap/>
              <w:adjustRightInd w:val="0"/>
              <w:snapToGrid/>
              <w:spacing w:line="320" w:lineRule="exact"/>
              <w:jc w:val="center"/>
              <w:textAlignment w:val="auto"/>
              <w:rPr>
                <w:rFonts w:ascii="Times New Roman" w:hAnsi="Times New Roman"/>
                <w:caps w:val="0"/>
                <w:snapToGrid w:val="0"/>
                <w:kern w:val="0"/>
                <w:sz w:val="21"/>
                <w:szCs w:val="21"/>
              </w:rPr>
            </w:pPr>
            <w:r>
              <w:rPr>
                <w:rFonts w:ascii="Times New Roman" w:hAnsi="Times New Roman"/>
                <w:caps w:val="0"/>
                <w:snapToGrid w:val="0"/>
                <w:kern w:val="0"/>
                <w:sz w:val="21"/>
                <w:szCs w:val="21"/>
              </w:rPr>
              <w:t>3</w:t>
            </w:r>
          </w:p>
        </w:tc>
        <w:tc>
          <w:tcPr>
            <w:tcW w:w="2399" w:type="dxa"/>
            <w:vAlign w:val="center"/>
          </w:tcPr>
          <w:p>
            <w:pPr>
              <w:widowControl w:val="0"/>
              <w:wordWrap/>
              <w:adjustRightInd w:val="0"/>
              <w:snapToGrid/>
              <w:spacing w:line="320" w:lineRule="exact"/>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城市集中式饮用水源水质达标率（%）</w:t>
            </w:r>
          </w:p>
        </w:tc>
        <w:tc>
          <w:tcPr>
            <w:tcW w:w="1246"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100</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100</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100</w:t>
            </w:r>
          </w:p>
        </w:tc>
        <w:tc>
          <w:tcPr>
            <w:tcW w:w="972"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预期性</w:t>
            </w:r>
          </w:p>
        </w:tc>
        <w:tc>
          <w:tcPr>
            <w:tcW w:w="96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100</w:t>
            </w:r>
          </w:p>
        </w:tc>
        <w:tc>
          <w:tcPr>
            <w:tcW w:w="91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dxa"/>
            <w:vMerge w:val="continue"/>
            <w:vAlign w:val="center"/>
          </w:tcPr>
          <w:p>
            <w:pPr>
              <w:widowControl w:val="0"/>
              <w:wordWrap/>
              <w:adjustRightInd w:val="0"/>
              <w:snapToGrid/>
              <w:spacing w:line="320" w:lineRule="exact"/>
              <w:jc w:val="center"/>
              <w:textAlignment w:val="auto"/>
              <w:rPr>
                <w:rFonts w:hint="eastAsia" w:ascii="Times New Roman" w:hAnsi="Times New Roman" w:eastAsia="黑体" w:cs="黑体"/>
                <w:caps w:val="0"/>
                <w:snapToGrid w:val="0"/>
                <w:kern w:val="0"/>
                <w:sz w:val="24"/>
                <w:szCs w:val="21"/>
              </w:rPr>
            </w:pPr>
          </w:p>
        </w:tc>
        <w:tc>
          <w:tcPr>
            <w:tcW w:w="653" w:type="dxa"/>
            <w:vAlign w:val="center"/>
          </w:tcPr>
          <w:p>
            <w:pPr>
              <w:widowControl w:val="0"/>
              <w:wordWrap/>
              <w:snapToGrid/>
              <w:spacing w:line="320" w:lineRule="exact"/>
              <w:jc w:val="center"/>
              <w:textAlignment w:val="auto"/>
              <w:rPr>
                <w:rFonts w:ascii="Times New Roman" w:hAnsi="Times New Roman"/>
                <w:caps w:val="0"/>
                <w:sz w:val="21"/>
                <w:szCs w:val="21"/>
              </w:rPr>
            </w:pPr>
            <w:r>
              <w:rPr>
                <w:rFonts w:ascii="Times New Roman" w:hAnsi="Times New Roman"/>
                <w:caps w:val="0"/>
                <w:sz w:val="21"/>
                <w:szCs w:val="21"/>
              </w:rPr>
              <w:t>4</w:t>
            </w:r>
          </w:p>
        </w:tc>
        <w:tc>
          <w:tcPr>
            <w:tcW w:w="2399" w:type="dxa"/>
            <w:vAlign w:val="center"/>
          </w:tcPr>
          <w:p>
            <w:pPr>
              <w:widowControl w:val="0"/>
              <w:wordWrap/>
              <w:adjustRightInd w:val="0"/>
              <w:snapToGrid/>
              <w:spacing w:line="320" w:lineRule="exact"/>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城市地表水功能区水质达标率</w:t>
            </w:r>
          </w:p>
        </w:tc>
        <w:tc>
          <w:tcPr>
            <w:tcW w:w="1246"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100</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100</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100</w:t>
            </w:r>
          </w:p>
        </w:tc>
        <w:tc>
          <w:tcPr>
            <w:tcW w:w="972" w:type="dxa"/>
            <w:vAlign w:val="center"/>
          </w:tcPr>
          <w:p>
            <w:pPr>
              <w:widowControl w:val="0"/>
              <w:wordWrap/>
              <w:snapToGrid/>
              <w:spacing w:line="320" w:lineRule="exact"/>
              <w:jc w:val="center"/>
              <w:textAlignment w:val="auto"/>
              <w:rPr>
                <w:rFonts w:ascii="Times New Roman" w:hAnsi="Times New Roman" w:eastAsia="宋体"/>
                <w:caps w:val="0"/>
                <w:sz w:val="21"/>
                <w:szCs w:val="21"/>
              </w:rPr>
            </w:pPr>
            <w:r>
              <w:rPr>
                <w:rFonts w:ascii="Times New Roman" w:hAnsi="Times New Roman" w:eastAsia="宋体"/>
                <w:caps w:val="0"/>
                <w:sz w:val="21"/>
                <w:szCs w:val="21"/>
              </w:rPr>
              <w:t>预期性</w:t>
            </w:r>
          </w:p>
        </w:tc>
        <w:tc>
          <w:tcPr>
            <w:tcW w:w="967" w:type="dxa"/>
            <w:vAlign w:val="center"/>
          </w:tcPr>
          <w:p>
            <w:pPr>
              <w:widowControl w:val="0"/>
              <w:wordWrap/>
              <w:snapToGrid/>
              <w:spacing w:line="320" w:lineRule="exact"/>
              <w:jc w:val="center"/>
              <w:textAlignment w:val="auto"/>
              <w:rPr>
                <w:rFonts w:ascii="Times New Roman" w:hAnsi="Times New Roman" w:eastAsia="宋体"/>
                <w:caps w:val="0"/>
                <w:sz w:val="21"/>
                <w:szCs w:val="21"/>
              </w:rPr>
            </w:pPr>
            <w:r>
              <w:rPr>
                <w:rFonts w:ascii="Times New Roman" w:hAnsi="Times New Roman" w:eastAsia="宋体"/>
                <w:caps w:val="0"/>
                <w:sz w:val="21"/>
                <w:szCs w:val="21"/>
              </w:rPr>
              <w:t>/</w:t>
            </w:r>
          </w:p>
        </w:tc>
        <w:tc>
          <w:tcPr>
            <w:tcW w:w="917" w:type="dxa"/>
            <w:vAlign w:val="center"/>
          </w:tcPr>
          <w:p>
            <w:pPr>
              <w:widowControl w:val="0"/>
              <w:wordWrap/>
              <w:snapToGrid/>
              <w:spacing w:line="320" w:lineRule="exact"/>
              <w:jc w:val="center"/>
              <w:textAlignment w:val="auto"/>
              <w:rPr>
                <w:rFonts w:hint="eastAsia" w:ascii="Times New Roman" w:hAnsi="Times New Roman" w:eastAsia="宋体"/>
                <w:caps w:val="0"/>
                <w:sz w:val="21"/>
                <w:szCs w:val="21"/>
                <w:lang w:eastAsia="zh-CN"/>
              </w:rPr>
            </w:pPr>
            <w:r>
              <w:rPr>
                <w:rFonts w:ascii="Times New Roman" w:hAnsi="Times New Roman" w:eastAsia="宋体"/>
                <w:caps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dxa"/>
            <w:vMerge w:val="continue"/>
            <w:vAlign w:val="center"/>
          </w:tcPr>
          <w:p>
            <w:pPr>
              <w:widowControl w:val="0"/>
              <w:wordWrap/>
              <w:adjustRightInd w:val="0"/>
              <w:snapToGrid/>
              <w:spacing w:line="320" w:lineRule="exact"/>
              <w:jc w:val="center"/>
              <w:textAlignment w:val="auto"/>
              <w:rPr>
                <w:rFonts w:hint="eastAsia" w:ascii="Times New Roman" w:hAnsi="Times New Roman" w:eastAsia="黑体" w:cs="黑体"/>
                <w:caps w:val="0"/>
                <w:snapToGrid w:val="0"/>
                <w:kern w:val="0"/>
                <w:sz w:val="24"/>
                <w:szCs w:val="21"/>
              </w:rPr>
            </w:pPr>
          </w:p>
        </w:tc>
        <w:tc>
          <w:tcPr>
            <w:tcW w:w="653" w:type="dxa"/>
            <w:vAlign w:val="center"/>
          </w:tcPr>
          <w:p>
            <w:pPr>
              <w:widowControl w:val="0"/>
              <w:wordWrap/>
              <w:adjustRightInd w:val="0"/>
              <w:snapToGrid/>
              <w:spacing w:line="320" w:lineRule="exact"/>
              <w:jc w:val="center"/>
              <w:textAlignment w:val="auto"/>
              <w:rPr>
                <w:rFonts w:ascii="Times New Roman" w:hAnsi="Times New Roman"/>
                <w:caps w:val="0"/>
                <w:snapToGrid w:val="0"/>
                <w:kern w:val="0"/>
                <w:sz w:val="21"/>
                <w:szCs w:val="21"/>
              </w:rPr>
            </w:pPr>
            <w:r>
              <w:rPr>
                <w:rFonts w:ascii="Times New Roman" w:hAnsi="Times New Roman"/>
                <w:caps w:val="0"/>
                <w:snapToGrid w:val="0"/>
                <w:kern w:val="0"/>
                <w:sz w:val="21"/>
                <w:szCs w:val="21"/>
              </w:rPr>
              <w:t>5</w:t>
            </w:r>
          </w:p>
        </w:tc>
        <w:tc>
          <w:tcPr>
            <w:tcW w:w="2399" w:type="dxa"/>
            <w:vAlign w:val="center"/>
          </w:tcPr>
          <w:p>
            <w:pPr>
              <w:widowControl w:val="0"/>
              <w:wordWrap/>
              <w:adjustRightInd w:val="0"/>
              <w:snapToGrid/>
              <w:spacing w:line="320" w:lineRule="exact"/>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区域环境噪声平均值（dB（A））</w:t>
            </w:r>
          </w:p>
        </w:tc>
        <w:tc>
          <w:tcPr>
            <w:tcW w:w="1246"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53.7</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﹤55</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﹤55</w:t>
            </w:r>
          </w:p>
        </w:tc>
        <w:tc>
          <w:tcPr>
            <w:tcW w:w="972" w:type="dxa"/>
            <w:vAlign w:val="center"/>
          </w:tcPr>
          <w:p>
            <w:pPr>
              <w:widowControl w:val="0"/>
              <w:wordWrap/>
              <w:snapToGrid/>
              <w:spacing w:line="320" w:lineRule="exact"/>
              <w:jc w:val="center"/>
              <w:textAlignment w:val="auto"/>
              <w:rPr>
                <w:rFonts w:ascii="Times New Roman" w:hAnsi="Times New Roman" w:eastAsia="宋体"/>
                <w:caps w:val="0"/>
                <w:sz w:val="21"/>
                <w:szCs w:val="21"/>
              </w:rPr>
            </w:pPr>
            <w:r>
              <w:rPr>
                <w:rFonts w:ascii="Times New Roman" w:hAnsi="Times New Roman" w:eastAsia="宋体"/>
                <w:caps w:val="0"/>
                <w:sz w:val="21"/>
                <w:szCs w:val="21"/>
              </w:rPr>
              <w:t>预期性</w:t>
            </w:r>
          </w:p>
        </w:tc>
        <w:tc>
          <w:tcPr>
            <w:tcW w:w="96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57.7</w:t>
            </w:r>
          </w:p>
        </w:tc>
        <w:tc>
          <w:tcPr>
            <w:tcW w:w="917" w:type="dxa"/>
            <w:vAlign w:val="center"/>
          </w:tcPr>
          <w:p>
            <w:pPr>
              <w:widowControl w:val="0"/>
              <w:wordWrap/>
              <w:snapToGrid/>
              <w:spacing w:line="320" w:lineRule="exact"/>
              <w:jc w:val="center"/>
              <w:textAlignment w:val="auto"/>
              <w:rPr>
                <w:rFonts w:ascii="Times New Roman" w:hAnsi="Times New Roman" w:eastAsia="宋体"/>
                <w:caps w:val="0"/>
                <w:sz w:val="21"/>
                <w:szCs w:val="21"/>
              </w:rPr>
            </w:pPr>
            <w:r>
              <w:rPr>
                <w:rFonts w:ascii="Times New Roman" w:hAnsi="Times New Roman" w:eastAsia="宋体"/>
                <w:caps w:val="0"/>
                <w:sz w:val="21"/>
                <w:szCs w:val="21"/>
              </w:rPr>
              <w:t>未完成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dxa"/>
            <w:vMerge w:val="continue"/>
            <w:vAlign w:val="center"/>
          </w:tcPr>
          <w:p>
            <w:pPr>
              <w:widowControl w:val="0"/>
              <w:wordWrap/>
              <w:adjustRightInd w:val="0"/>
              <w:snapToGrid/>
              <w:spacing w:line="320" w:lineRule="exact"/>
              <w:jc w:val="center"/>
              <w:textAlignment w:val="auto"/>
              <w:rPr>
                <w:rFonts w:hint="eastAsia" w:ascii="Times New Roman" w:hAnsi="Times New Roman" w:eastAsia="黑体" w:cs="黑体"/>
                <w:caps w:val="0"/>
                <w:snapToGrid w:val="0"/>
                <w:kern w:val="0"/>
                <w:sz w:val="24"/>
                <w:szCs w:val="21"/>
              </w:rPr>
            </w:pPr>
          </w:p>
        </w:tc>
        <w:tc>
          <w:tcPr>
            <w:tcW w:w="653" w:type="dxa"/>
            <w:vAlign w:val="center"/>
          </w:tcPr>
          <w:p>
            <w:pPr>
              <w:widowControl w:val="0"/>
              <w:wordWrap/>
              <w:adjustRightInd w:val="0"/>
              <w:snapToGrid/>
              <w:spacing w:line="320" w:lineRule="exact"/>
              <w:jc w:val="center"/>
              <w:textAlignment w:val="auto"/>
              <w:rPr>
                <w:rFonts w:ascii="Times New Roman" w:hAnsi="Times New Roman"/>
                <w:caps w:val="0"/>
                <w:snapToGrid w:val="0"/>
                <w:kern w:val="0"/>
                <w:sz w:val="21"/>
                <w:szCs w:val="21"/>
              </w:rPr>
            </w:pPr>
            <w:r>
              <w:rPr>
                <w:rFonts w:ascii="Times New Roman" w:hAnsi="Times New Roman"/>
                <w:caps w:val="0"/>
                <w:snapToGrid w:val="0"/>
                <w:kern w:val="0"/>
                <w:sz w:val="21"/>
                <w:szCs w:val="21"/>
              </w:rPr>
              <w:t>6</w:t>
            </w:r>
          </w:p>
        </w:tc>
        <w:tc>
          <w:tcPr>
            <w:tcW w:w="2399" w:type="dxa"/>
            <w:vAlign w:val="center"/>
          </w:tcPr>
          <w:p>
            <w:pPr>
              <w:widowControl w:val="0"/>
              <w:wordWrap/>
              <w:adjustRightInd w:val="0"/>
              <w:snapToGrid/>
              <w:spacing w:line="320" w:lineRule="exact"/>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交通干线噪声平均值（dB（A））</w:t>
            </w:r>
          </w:p>
        </w:tc>
        <w:tc>
          <w:tcPr>
            <w:tcW w:w="1246"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67.0</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﹤70</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﹤70</w:t>
            </w:r>
          </w:p>
        </w:tc>
        <w:tc>
          <w:tcPr>
            <w:tcW w:w="972" w:type="dxa"/>
            <w:vAlign w:val="center"/>
          </w:tcPr>
          <w:p>
            <w:pPr>
              <w:widowControl w:val="0"/>
              <w:wordWrap/>
              <w:snapToGrid/>
              <w:spacing w:line="320" w:lineRule="exact"/>
              <w:jc w:val="center"/>
              <w:textAlignment w:val="auto"/>
              <w:rPr>
                <w:rFonts w:ascii="Times New Roman" w:hAnsi="Times New Roman" w:eastAsia="宋体"/>
                <w:caps w:val="0"/>
                <w:sz w:val="21"/>
                <w:szCs w:val="21"/>
              </w:rPr>
            </w:pPr>
            <w:r>
              <w:rPr>
                <w:rFonts w:ascii="Times New Roman" w:hAnsi="Times New Roman" w:eastAsia="宋体"/>
                <w:caps w:val="0"/>
                <w:sz w:val="21"/>
                <w:szCs w:val="21"/>
              </w:rPr>
              <w:t>预期性</w:t>
            </w:r>
          </w:p>
        </w:tc>
        <w:tc>
          <w:tcPr>
            <w:tcW w:w="96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68.7</w:t>
            </w:r>
          </w:p>
        </w:tc>
        <w:tc>
          <w:tcPr>
            <w:tcW w:w="917" w:type="dxa"/>
            <w:vAlign w:val="center"/>
          </w:tcPr>
          <w:p>
            <w:pPr>
              <w:widowControl w:val="0"/>
              <w:wordWrap/>
              <w:snapToGrid/>
              <w:spacing w:line="320" w:lineRule="exact"/>
              <w:jc w:val="center"/>
              <w:textAlignment w:val="auto"/>
              <w:rPr>
                <w:rFonts w:ascii="Times New Roman" w:hAnsi="Times New Roman" w:eastAsia="宋体"/>
                <w:caps w:val="0"/>
                <w:sz w:val="21"/>
                <w:szCs w:val="21"/>
              </w:rPr>
            </w:pPr>
            <w:r>
              <w:rPr>
                <w:rFonts w:ascii="Times New Roman" w:hAnsi="Times New Roman" w:eastAsia="宋体"/>
                <w:caps w:val="0"/>
                <w:sz w:val="21"/>
                <w:szCs w:val="21"/>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2" w:type="dxa"/>
            <w:vMerge w:val="restart"/>
            <w:vAlign w:val="center"/>
          </w:tcPr>
          <w:p>
            <w:pPr>
              <w:widowControl w:val="0"/>
              <w:wordWrap/>
              <w:adjustRightInd w:val="0"/>
              <w:snapToGrid/>
              <w:spacing w:line="320" w:lineRule="exact"/>
              <w:jc w:val="center"/>
              <w:textAlignment w:val="auto"/>
              <w:rPr>
                <w:rFonts w:hint="eastAsia" w:ascii="Times New Roman" w:hAnsi="Times New Roman" w:eastAsia="黑体" w:cs="黑体"/>
                <w:caps w:val="0"/>
                <w:snapToGrid w:val="0"/>
                <w:kern w:val="0"/>
                <w:sz w:val="24"/>
                <w:szCs w:val="21"/>
              </w:rPr>
            </w:pPr>
            <w:r>
              <w:rPr>
                <w:rFonts w:hint="eastAsia" w:ascii="Times New Roman" w:hAnsi="Times New Roman" w:eastAsia="黑体" w:cs="黑体"/>
                <w:caps w:val="0"/>
                <w:snapToGrid w:val="0"/>
                <w:kern w:val="0"/>
                <w:sz w:val="24"/>
                <w:szCs w:val="21"/>
              </w:rPr>
              <w:t>污染控制</w:t>
            </w:r>
          </w:p>
        </w:tc>
        <w:tc>
          <w:tcPr>
            <w:tcW w:w="653" w:type="dxa"/>
            <w:vAlign w:val="center"/>
          </w:tcPr>
          <w:p>
            <w:pPr>
              <w:widowControl w:val="0"/>
              <w:wordWrap/>
              <w:adjustRightInd w:val="0"/>
              <w:snapToGrid/>
              <w:spacing w:line="320" w:lineRule="exact"/>
              <w:jc w:val="center"/>
              <w:textAlignment w:val="auto"/>
              <w:rPr>
                <w:rFonts w:ascii="Times New Roman" w:hAnsi="Times New Roman"/>
                <w:caps w:val="0"/>
                <w:snapToGrid w:val="0"/>
                <w:kern w:val="0"/>
                <w:sz w:val="21"/>
                <w:szCs w:val="21"/>
              </w:rPr>
            </w:pPr>
            <w:r>
              <w:rPr>
                <w:rFonts w:ascii="Times New Roman" w:hAnsi="Times New Roman"/>
                <w:caps w:val="0"/>
                <w:snapToGrid w:val="0"/>
                <w:kern w:val="0"/>
                <w:sz w:val="21"/>
                <w:szCs w:val="21"/>
              </w:rPr>
              <w:t>7</w:t>
            </w:r>
          </w:p>
        </w:tc>
        <w:tc>
          <w:tcPr>
            <w:tcW w:w="2399" w:type="dxa"/>
            <w:vAlign w:val="center"/>
          </w:tcPr>
          <w:p>
            <w:pPr>
              <w:widowControl w:val="0"/>
              <w:wordWrap/>
              <w:adjustRightInd w:val="0"/>
              <w:snapToGrid/>
              <w:spacing w:line="320" w:lineRule="exact"/>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二氧化硫排放量（万吨）</w:t>
            </w:r>
          </w:p>
        </w:tc>
        <w:tc>
          <w:tcPr>
            <w:tcW w:w="1246" w:type="dxa"/>
            <w:vMerge w:val="restart"/>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完成广州市下达的任务</w:t>
            </w:r>
          </w:p>
        </w:tc>
        <w:tc>
          <w:tcPr>
            <w:tcW w:w="841" w:type="dxa"/>
            <w:vMerge w:val="restart"/>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控制在广州市下达指标内</w:t>
            </w:r>
          </w:p>
        </w:tc>
        <w:tc>
          <w:tcPr>
            <w:tcW w:w="841" w:type="dxa"/>
            <w:vMerge w:val="restart"/>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控制在广州市下达指标内</w:t>
            </w:r>
          </w:p>
        </w:tc>
        <w:tc>
          <w:tcPr>
            <w:tcW w:w="972"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约束性</w:t>
            </w:r>
          </w:p>
        </w:tc>
        <w:tc>
          <w:tcPr>
            <w:tcW w:w="96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w:t>
            </w:r>
          </w:p>
        </w:tc>
        <w:tc>
          <w:tcPr>
            <w:tcW w:w="91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dxa"/>
            <w:vMerge w:val="continue"/>
            <w:vAlign w:val="center"/>
          </w:tcPr>
          <w:p>
            <w:pPr>
              <w:widowControl w:val="0"/>
              <w:wordWrap/>
              <w:adjustRightInd w:val="0"/>
              <w:snapToGrid/>
              <w:spacing w:line="320" w:lineRule="exact"/>
              <w:jc w:val="center"/>
              <w:textAlignment w:val="auto"/>
              <w:rPr>
                <w:rFonts w:hint="eastAsia" w:ascii="Times New Roman" w:hAnsi="Times New Roman" w:eastAsia="黑体" w:cs="黑体"/>
                <w:caps w:val="0"/>
                <w:snapToGrid w:val="0"/>
                <w:kern w:val="0"/>
                <w:sz w:val="24"/>
                <w:szCs w:val="21"/>
              </w:rPr>
            </w:pPr>
          </w:p>
        </w:tc>
        <w:tc>
          <w:tcPr>
            <w:tcW w:w="653" w:type="dxa"/>
            <w:vAlign w:val="center"/>
          </w:tcPr>
          <w:p>
            <w:pPr>
              <w:widowControl w:val="0"/>
              <w:wordWrap/>
              <w:adjustRightInd w:val="0"/>
              <w:snapToGrid/>
              <w:spacing w:line="320" w:lineRule="exact"/>
              <w:jc w:val="center"/>
              <w:textAlignment w:val="auto"/>
              <w:rPr>
                <w:rFonts w:ascii="Times New Roman" w:hAnsi="Times New Roman"/>
                <w:caps w:val="0"/>
                <w:snapToGrid w:val="0"/>
                <w:kern w:val="0"/>
                <w:sz w:val="21"/>
                <w:szCs w:val="21"/>
              </w:rPr>
            </w:pPr>
            <w:r>
              <w:rPr>
                <w:rFonts w:ascii="Times New Roman" w:hAnsi="Times New Roman"/>
                <w:caps w:val="0"/>
                <w:snapToGrid w:val="0"/>
                <w:kern w:val="0"/>
                <w:sz w:val="21"/>
                <w:szCs w:val="21"/>
              </w:rPr>
              <w:t>8</w:t>
            </w:r>
          </w:p>
        </w:tc>
        <w:tc>
          <w:tcPr>
            <w:tcW w:w="2399" w:type="dxa"/>
            <w:vAlign w:val="center"/>
          </w:tcPr>
          <w:p>
            <w:pPr>
              <w:widowControl w:val="0"/>
              <w:wordWrap/>
              <w:adjustRightInd w:val="0"/>
              <w:snapToGrid/>
              <w:spacing w:line="320" w:lineRule="exact"/>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化学需氧量排放量（万吨）</w:t>
            </w:r>
          </w:p>
        </w:tc>
        <w:tc>
          <w:tcPr>
            <w:tcW w:w="1246" w:type="dxa"/>
            <w:vMerge w:val="continue"/>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p>
        </w:tc>
        <w:tc>
          <w:tcPr>
            <w:tcW w:w="841" w:type="dxa"/>
            <w:vMerge w:val="continue"/>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p>
        </w:tc>
        <w:tc>
          <w:tcPr>
            <w:tcW w:w="841" w:type="dxa"/>
            <w:vMerge w:val="continue"/>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p>
        </w:tc>
        <w:tc>
          <w:tcPr>
            <w:tcW w:w="972"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约束性</w:t>
            </w:r>
          </w:p>
        </w:tc>
        <w:tc>
          <w:tcPr>
            <w:tcW w:w="96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w:t>
            </w:r>
          </w:p>
        </w:tc>
        <w:tc>
          <w:tcPr>
            <w:tcW w:w="91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dxa"/>
            <w:vMerge w:val="continue"/>
            <w:vAlign w:val="center"/>
          </w:tcPr>
          <w:p>
            <w:pPr>
              <w:widowControl w:val="0"/>
              <w:wordWrap/>
              <w:adjustRightInd w:val="0"/>
              <w:snapToGrid/>
              <w:spacing w:line="320" w:lineRule="exact"/>
              <w:jc w:val="center"/>
              <w:textAlignment w:val="auto"/>
              <w:rPr>
                <w:rFonts w:hint="eastAsia" w:ascii="Times New Roman" w:hAnsi="Times New Roman" w:eastAsia="黑体" w:cs="黑体"/>
                <w:caps w:val="0"/>
                <w:snapToGrid w:val="0"/>
                <w:kern w:val="0"/>
                <w:sz w:val="24"/>
                <w:szCs w:val="21"/>
              </w:rPr>
            </w:pPr>
          </w:p>
        </w:tc>
        <w:tc>
          <w:tcPr>
            <w:tcW w:w="653" w:type="dxa"/>
            <w:vAlign w:val="center"/>
          </w:tcPr>
          <w:p>
            <w:pPr>
              <w:widowControl w:val="0"/>
              <w:wordWrap/>
              <w:adjustRightInd w:val="0"/>
              <w:snapToGrid/>
              <w:spacing w:line="320" w:lineRule="exact"/>
              <w:jc w:val="center"/>
              <w:textAlignment w:val="auto"/>
              <w:rPr>
                <w:rFonts w:ascii="Times New Roman" w:hAnsi="Times New Roman"/>
                <w:caps w:val="0"/>
                <w:snapToGrid w:val="0"/>
                <w:kern w:val="0"/>
                <w:sz w:val="21"/>
                <w:szCs w:val="21"/>
              </w:rPr>
            </w:pPr>
            <w:r>
              <w:rPr>
                <w:rFonts w:ascii="Times New Roman" w:hAnsi="Times New Roman"/>
                <w:caps w:val="0"/>
                <w:snapToGrid w:val="0"/>
                <w:kern w:val="0"/>
                <w:sz w:val="21"/>
                <w:szCs w:val="21"/>
              </w:rPr>
              <w:t>9</w:t>
            </w:r>
          </w:p>
        </w:tc>
        <w:tc>
          <w:tcPr>
            <w:tcW w:w="2399" w:type="dxa"/>
            <w:vAlign w:val="center"/>
          </w:tcPr>
          <w:p>
            <w:pPr>
              <w:widowControl w:val="0"/>
              <w:wordWrap/>
              <w:adjustRightInd w:val="0"/>
              <w:snapToGrid/>
              <w:spacing w:line="320" w:lineRule="exact"/>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氮氧化物排放量（万吨）</w:t>
            </w:r>
          </w:p>
        </w:tc>
        <w:tc>
          <w:tcPr>
            <w:tcW w:w="1246" w:type="dxa"/>
            <w:vMerge w:val="continue"/>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p>
        </w:tc>
        <w:tc>
          <w:tcPr>
            <w:tcW w:w="841" w:type="dxa"/>
            <w:vMerge w:val="continue"/>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p>
        </w:tc>
        <w:tc>
          <w:tcPr>
            <w:tcW w:w="841" w:type="dxa"/>
            <w:vMerge w:val="continue"/>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p>
        </w:tc>
        <w:tc>
          <w:tcPr>
            <w:tcW w:w="972"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约束性</w:t>
            </w:r>
          </w:p>
        </w:tc>
        <w:tc>
          <w:tcPr>
            <w:tcW w:w="96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w:t>
            </w:r>
          </w:p>
        </w:tc>
        <w:tc>
          <w:tcPr>
            <w:tcW w:w="91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482" w:type="dxa"/>
            <w:vMerge w:val="continue"/>
            <w:vAlign w:val="center"/>
          </w:tcPr>
          <w:p>
            <w:pPr>
              <w:widowControl w:val="0"/>
              <w:wordWrap/>
              <w:adjustRightInd w:val="0"/>
              <w:snapToGrid/>
              <w:spacing w:line="320" w:lineRule="exact"/>
              <w:jc w:val="center"/>
              <w:textAlignment w:val="auto"/>
              <w:rPr>
                <w:rFonts w:hint="eastAsia" w:ascii="Times New Roman" w:hAnsi="Times New Roman" w:eastAsia="黑体" w:cs="黑体"/>
                <w:caps w:val="0"/>
                <w:snapToGrid w:val="0"/>
                <w:kern w:val="0"/>
                <w:sz w:val="24"/>
                <w:szCs w:val="21"/>
              </w:rPr>
            </w:pPr>
          </w:p>
        </w:tc>
        <w:tc>
          <w:tcPr>
            <w:tcW w:w="653" w:type="dxa"/>
            <w:vAlign w:val="center"/>
          </w:tcPr>
          <w:p>
            <w:pPr>
              <w:widowControl w:val="0"/>
              <w:wordWrap/>
              <w:adjustRightInd w:val="0"/>
              <w:snapToGrid/>
              <w:spacing w:line="320" w:lineRule="exact"/>
              <w:jc w:val="center"/>
              <w:textAlignment w:val="auto"/>
              <w:rPr>
                <w:rFonts w:ascii="Times New Roman" w:hAnsi="Times New Roman"/>
                <w:caps w:val="0"/>
                <w:snapToGrid w:val="0"/>
                <w:kern w:val="0"/>
                <w:sz w:val="21"/>
                <w:szCs w:val="21"/>
              </w:rPr>
            </w:pPr>
            <w:r>
              <w:rPr>
                <w:rFonts w:ascii="Times New Roman" w:hAnsi="Times New Roman"/>
                <w:caps w:val="0"/>
                <w:snapToGrid w:val="0"/>
                <w:kern w:val="0"/>
                <w:sz w:val="21"/>
                <w:szCs w:val="21"/>
              </w:rPr>
              <w:t>10</w:t>
            </w:r>
          </w:p>
        </w:tc>
        <w:tc>
          <w:tcPr>
            <w:tcW w:w="2399" w:type="dxa"/>
            <w:vAlign w:val="center"/>
          </w:tcPr>
          <w:p>
            <w:pPr>
              <w:widowControl w:val="0"/>
              <w:wordWrap/>
              <w:adjustRightInd w:val="0"/>
              <w:snapToGrid/>
              <w:spacing w:line="320" w:lineRule="exact"/>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氨氮排放量（万吨）</w:t>
            </w:r>
          </w:p>
        </w:tc>
        <w:tc>
          <w:tcPr>
            <w:tcW w:w="1246" w:type="dxa"/>
            <w:vMerge w:val="continue"/>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p>
        </w:tc>
        <w:tc>
          <w:tcPr>
            <w:tcW w:w="841" w:type="dxa"/>
            <w:vMerge w:val="continue"/>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p>
        </w:tc>
        <w:tc>
          <w:tcPr>
            <w:tcW w:w="841" w:type="dxa"/>
            <w:vMerge w:val="continue"/>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p>
        </w:tc>
        <w:tc>
          <w:tcPr>
            <w:tcW w:w="972"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约束性</w:t>
            </w:r>
          </w:p>
        </w:tc>
        <w:tc>
          <w:tcPr>
            <w:tcW w:w="96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w:t>
            </w:r>
          </w:p>
        </w:tc>
        <w:tc>
          <w:tcPr>
            <w:tcW w:w="91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dxa"/>
            <w:vMerge w:val="continue"/>
            <w:vAlign w:val="center"/>
          </w:tcPr>
          <w:p>
            <w:pPr>
              <w:widowControl w:val="0"/>
              <w:wordWrap/>
              <w:adjustRightInd w:val="0"/>
              <w:snapToGrid/>
              <w:spacing w:line="320" w:lineRule="exact"/>
              <w:jc w:val="center"/>
              <w:textAlignment w:val="auto"/>
              <w:rPr>
                <w:rFonts w:hint="eastAsia" w:ascii="Times New Roman" w:hAnsi="Times New Roman" w:eastAsia="黑体" w:cs="黑体"/>
                <w:caps w:val="0"/>
                <w:snapToGrid w:val="0"/>
                <w:kern w:val="0"/>
                <w:sz w:val="24"/>
                <w:szCs w:val="21"/>
              </w:rPr>
            </w:pPr>
          </w:p>
        </w:tc>
        <w:tc>
          <w:tcPr>
            <w:tcW w:w="653" w:type="dxa"/>
            <w:vAlign w:val="center"/>
          </w:tcPr>
          <w:p>
            <w:pPr>
              <w:widowControl w:val="0"/>
              <w:wordWrap/>
              <w:adjustRightInd w:val="0"/>
              <w:snapToGrid/>
              <w:spacing w:line="320" w:lineRule="exact"/>
              <w:jc w:val="center"/>
              <w:textAlignment w:val="auto"/>
              <w:rPr>
                <w:rFonts w:ascii="Times New Roman" w:hAnsi="Times New Roman"/>
                <w:caps w:val="0"/>
                <w:snapToGrid w:val="0"/>
                <w:kern w:val="0"/>
                <w:sz w:val="21"/>
                <w:szCs w:val="21"/>
              </w:rPr>
            </w:pPr>
            <w:r>
              <w:rPr>
                <w:rFonts w:ascii="Times New Roman" w:hAnsi="Times New Roman"/>
                <w:caps w:val="0"/>
                <w:snapToGrid w:val="0"/>
                <w:kern w:val="0"/>
                <w:sz w:val="21"/>
                <w:szCs w:val="21"/>
              </w:rPr>
              <w:t>11</w:t>
            </w:r>
          </w:p>
        </w:tc>
        <w:tc>
          <w:tcPr>
            <w:tcW w:w="2399" w:type="dxa"/>
            <w:vAlign w:val="center"/>
          </w:tcPr>
          <w:p>
            <w:pPr>
              <w:widowControl w:val="0"/>
              <w:wordWrap/>
              <w:adjustRightInd w:val="0"/>
              <w:snapToGrid/>
              <w:spacing w:line="320" w:lineRule="exact"/>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工业废水排放达标率（%）</w:t>
            </w:r>
          </w:p>
        </w:tc>
        <w:tc>
          <w:tcPr>
            <w:tcW w:w="1246"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≥90</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≥95</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≥97</w:t>
            </w:r>
          </w:p>
        </w:tc>
        <w:tc>
          <w:tcPr>
            <w:tcW w:w="972"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预期性</w:t>
            </w:r>
          </w:p>
        </w:tc>
        <w:tc>
          <w:tcPr>
            <w:tcW w:w="96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hint="eastAsia" w:ascii="Times New Roman" w:hAnsi="Times New Roman" w:eastAsia="宋体"/>
                <w:caps w:val="0"/>
                <w:snapToGrid w:val="0"/>
                <w:kern w:val="0"/>
                <w:sz w:val="21"/>
                <w:szCs w:val="21"/>
              </w:rPr>
              <w:t>/</w:t>
            </w:r>
          </w:p>
        </w:tc>
        <w:tc>
          <w:tcPr>
            <w:tcW w:w="91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dxa"/>
            <w:vMerge w:val="restart"/>
            <w:vAlign w:val="center"/>
          </w:tcPr>
          <w:p>
            <w:pPr>
              <w:widowControl w:val="0"/>
              <w:wordWrap/>
              <w:adjustRightInd w:val="0"/>
              <w:snapToGrid/>
              <w:spacing w:line="320" w:lineRule="exact"/>
              <w:jc w:val="center"/>
              <w:textAlignment w:val="auto"/>
              <w:rPr>
                <w:rFonts w:hint="eastAsia" w:ascii="Times New Roman" w:hAnsi="Times New Roman" w:eastAsia="黑体" w:cs="黑体"/>
                <w:caps w:val="0"/>
                <w:snapToGrid w:val="0"/>
                <w:kern w:val="0"/>
                <w:sz w:val="24"/>
                <w:szCs w:val="21"/>
              </w:rPr>
            </w:pPr>
            <w:r>
              <w:rPr>
                <w:rFonts w:hint="eastAsia" w:ascii="Times New Roman" w:hAnsi="Times New Roman" w:eastAsia="黑体" w:cs="黑体"/>
                <w:caps w:val="0"/>
                <w:snapToGrid w:val="0"/>
                <w:kern w:val="0"/>
                <w:sz w:val="24"/>
                <w:szCs w:val="21"/>
              </w:rPr>
              <w:t>环境建设</w:t>
            </w:r>
          </w:p>
        </w:tc>
        <w:tc>
          <w:tcPr>
            <w:tcW w:w="653" w:type="dxa"/>
            <w:vAlign w:val="center"/>
          </w:tcPr>
          <w:p>
            <w:pPr>
              <w:widowControl w:val="0"/>
              <w:wordWrap/>
              <w:adjustRightInd w:val="0"/>
              <w:snapToGrid/>
              <w:spacing w:line="320" w:lineRule="exact"/>
              <w:jc w:val="center"/>
              <w:textAlignment w:val="auto"/>
              <w:rPr>
                <w:rFonts w:ascii="Times New Roman" w:hAnsi="Times New Roman"/>
                <w:caps w:val="0"/>
                <w:snapToGrid w:val="0"/>
                <w:kern w:val="0"/>
                <w:sz w:val="21"/>
                <w:szCs w:val="21"/>
              </w:rPr>
            </w:pPr>
            <w:r>
              <w:rPr>
                <w:rFonts w:ascii="Times New Roman" w:hAnsi="Times New Roman"/>
                <w:caps w:val="0"/>
                <w:snapToGrid w:val="0"/>
                <w:kern w:val="0"/>
                <w:sz w:val="21"/>
                <w:szCs w:val="21"/>
              </w:rPr>
              <w:t>12</w:t>
            </w:r>
          </w:p>
        </w:tc>
        <w:tc>
          <w:tcPr>
            <w:tcW w:w="2399" w:type="dxa"/>
            <w:vAlign w:val="center"/>
          </w:tcPr>
          <w:p>
            <w:pPr>
              <w:widowControl w:val="0"/>
              <w:wordWrap/>
              <w:adjustRightInd w:val="0"/>
              <w:snapToGrid/>
              <w:spacing w:line="320" w:lineRule="exact"/>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放射性废源、废物收储率（%）</w:t>
            </w:r>
          </w:p>
        </w:tc>
        <w:tc>
          <w:tcPr>
            <w:tcW w:w="1246"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100</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100</w:t>
            </w:r>
          </w:p>
        </w:tc>
        <w:tc>
          <w:tcPr>
            <w:tcW w:w="972"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预期性</w:t>
            </w:r>
          </w:p>
        </w:tc>
        <w:tc>
          <w:tcPr>
            <w:tcW w:w="96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100</w:t>
            </w:r>
          </w:p>
        </w:tc>
        <w:tc>
          <w:tcPr>
            <w:tcW w:w="91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dxa"/>
            <w:vMerge w:val="continue"/>
            <w:vAlign w:val="center"/>
          </w:tcPr>
          <w:p>
            <w:pPr>
              <w:widowControl w:val="0"/>
              <w:wordWrap/>
              <w:adjustRightInd w:val="0"/>
              <w:snapToGrid/>
              <w:spacing w:line="320" w:lineRule="exact"/>
              <w:jc w:val="center"/>
              <w:textAlignment w:val="auto"/>
              <w:rPr>
                <w:rFonts w:hint="eastAsia" w:ascii="Times New Roman" w:hAnsi="Times New Roman" w:eastAsia="黑体" w:cs="黑体"/>
                <w:caps w:val="0"/>
                <w:snapToGrid w:val="0"/>
                <w:kern w:val="0"/>
                <w:sz w:val="24"/>
                <w:szCs w:val="21"/>
              </w:rPr>
            </w:pPr>
          </w:p>
        </w:tc>
        <w:tc>
          <w:tcPr>
            <w:tcW w:w="653" w:type="dxa"/>
            <w:vAlign w:val="center"/>
          </w:tcPr>
          <w:p>
            <w:pPr>
              <w:widowControl w:val="0"/>
              <w:wordWrap/>
              <w:adjustRightInd w:val="0"/>
              <w:snapToGrid/>
              <w:spacing w:line="320" w:lineRule="exact"/>
              <w:jc w:val="center"/>
              <w:textAlignment w:val="auto"/>
              <w:rPr>
                <w:rFonts w:ascii="Times New Roman" w:hAnsi="Times New Roman"/>
                <w:caps w:val="0"/>
                <w:snapToGrid w:val="0"/>
                <w:kern w:val="0"/>
                <w:sz w:val="21"/>
                <w:szCs w:val="21"/>
              </w:rPr>
            </w:pPr>
            <w:r>
              <w:rPr>
                <w:rFonts w:ascii="Times New Roman" w:hAnsi="Times New Roman"/>
                <w:caps w:val="0"/>
                <w:snapToGrid w:val="0"/>
                <w:kern w:val="0"/>
                <w:sz w:val="21"/>
                <w:szCs w:val="21"/>
              </w:rPr>
              <w:t>13</w:t>
            </w:r>
          </w:p>
        </w:tc>
        <w:tc>
          <w:tcPr>
            <w:tcW w:w="2399" w:type="dxa"/>
            <w:vAlign w:val="center"/>
          </w:tcPr>
          <w:p>
            <w:pPr>
              <w:widowControl w:val="0"/>
              <w:wordWrap/>
              <w:adjustRightInd w:val="0"/>
              <w:snapToGrid/>
              <w:spacing w:line="320" w:lineRule="exact"/>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城镇生活污水处理率（%）</w:t>
            </w:r>
          </w:p>
        </w:tc>
        <w:tc>
          <w:tcPr>
            <w:tcW w:w="1246"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86</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90</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100</w:t>
            </w:r>
          </w:p>
        </w:tc>
        <w:tc>
          <w:tcPr>
            <w:tcW w:w="972"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预期性</w:t>
            </w:r>
          </w:p>
        </w:tc>
        <w:tc>
          <w:tcPr>
            <w:tcW w:w="96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z w:val="21"/>
                <w:szCs w:val="21"/>
              </w:rPr>
              <w:t>100%</w:t>
            </w:r>
          </w:p>
        </w:tc>
        <w:tc>
          <w:tcPr>
            <w:tcW w:w="91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dxa"/>
            <w:vMerge w:val="continue"/>
            <w:vAlign w:val="center"/>
          </w:tcPr>
          <w:p>
            <w:pPr>
              <w:widowControl w:val="0"/>
              <w:wordWrap/>
              <w:adjustRightInd w:val="0"/>
              <w:snapToGrid/>
              <w:spacing w:line="320" w:lineRule="exact"/>
              <w:jc w:val="center"/>
              <w:textAlignment w:val="auto"/>
              <w:rPr>
                <w:rFonts w:hint="eastAsia" w:ascii="Times New Roman" w:hAnsi="Times New Roman" w:eastAsia="黑体" w:cs="黑体"/>
                <w:caps w:val="0"/>
                <w:snapToGrid w:val="0"/>
                <w:kern w:val="0"/>
                <w:sz w:val="24"/>
                <w:szCs w:val="21"/>
              </w:rPr>
            </w:pPr>
          </w:p>
        </w:tc>
        <w:tc>
          <w:tcPr>
            <w:tcW w:w="653" w:type="dxa"/>
            <w:vAlign w:val="center"/>
          </w:tcPr>
          <w:p>
            <w:pPr>
              <w:widowControl w:val="0"/>
              <w:wordWrap/>
              <w:adjustRightInd w:val="0"/>
              <w:snapToGrid/>
              <w:spacing w:line="320" w:lineRule="exact"/>
              <w:jc w:val="center"/>
              <w:textAlignment w:val="auto"/>
              <w:rPr>
                <w:rFonts w:ascii="Times New Roman" w:hAnsi="Times New Roman"/>
                <w:caps w:val="0"/>
                <w:snapToGrid w:val="0"/>
                <w:kern w:val="0"/>
                <w:sz w:val="21"/>
                <w:szCs w:val="21"/>
              </w:rPr>
            </w:pPr>
            <w:r>
              <w:rPr>
                <w:rFonts w:ascii="Times New Roman" w:hAnsi="Times New Roman"/>
                <w:caps w:val="0"/>
                <w:snapToGrid w:val="0"/>
                <w:kern w:val="0"/>
                <w:sz w:val="21"/>
                <w:szCs w:val="21"/>
              </w:rPr>
              <w:t>14</w:t>
            </w:r>
          </w:p>
        </w:tc>
        <w:tc>
          <w:tcPr>
            <w:tcW w:w="2399" w:type="dxa"/>
            <w:vAlign w:val="center"/>
          </w:tcPr>
          <w:p>
            <w:pPr>
              <w:widowControl w:val="0"/>
              <w:wordWrap/>
              <w:adjustRightInd w:val="0"/>
              <w:snapToGrid/>
              <w:spacing w:line="320" w:lineRule="exact"/>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农村生活污水处理率（%）</w:t>
            </w:r>
          </w:p>
        </w:tc>
        <w:tc>
          <w:tcPr>
            <w:tcW w:w="1246"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70</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80</w:t>
            </w:r>
          </w:p>
        </w:tc>
        <w:tc>
          <w:tcPr>
            <w:tcW w:w="972"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预期性</w:t>
            </w:r>
          </w:p>
        </w:tc>
        <w:tc>
          <w:tcPr>
            <w:tcW w:w="96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z w:val="21"/>
                <w:szCs w:val="21"/>
              </w:rPr>
              <w:t>100</w:t>
            </w:r>
            <w:r>
              <w:rPr>
                <w:rFonts w:hint="eastAsia" w:ascii="Times New Roman" w:hAnsi="Times New Roman" w:eastAsia="宋体"/>
                <w:caps w:val="0"/>
                <w:sz w:val="21"/>
                <w:szCs w:val="21"/>
              </w:rPr>
              <w:t>%</w:t>
            </w:r>
          </w:p>
        </w:tc>
        <w:tc>
          <w:tcPr>
            <w:tcW w:w="91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dxa"/>
            <w:vMerge w:val="continue"/>
            <w:vAlign w:val="center"/>
          </w:tcPr>
          <w:p>
            <w:pPr>
              <w:widowControl w:val="0"/>
              <w:wordWrap/>
              <w:adjustRightInd w:val="0"/>
              <w:snapToGrid/>
              <w:spacing w:line="320" w:lineRule="exact"/>
              <w:jc w:val="center"/>
              <w:textAlignment w:val="auto"/>
              <w:rPr>
                <w:rFonts w:hint="eastAsia" w:ascii="Times New Roman" w:hAnsi="Times New Roman" w:eastAsia="黑体" w:cs="黑体"/>
                <w:caps w:val="0"/>
                <w:snapToGrid w:val="0"/>
                <w:kern w:val="0"/>
                <w:sz w:val="24"/>
                <w:szCs w:val="21"/>
              </w:rPr>
            </w:pPr>
          </w:p>
        </w:tc>
        <w:tc>
          <w:tcPr>
            <w:tcW w:w="653" w:type="dxa"/>
            <w:vAlign w:val="center"/>
          </w:tcPr>
          <w:p>
            <w:pPr>
              <w:widowControl w:val="0"/>
              <w:wordWrap/>
              <w:adjustRightInd w:val="0"/>
              <w:snapToGrid/>
              <w:spacing w:line="320" w:lineRule="exact"/>
              <w:jc w:val="center"/>
              <w:textAlignment w:val="auto"/>
              <w:rPr>
                <w:rFonts w:ascii="Times New Roman" w:hAnsi="Times New Roman"/>
                <w:caps w:val="0"/>
                <w:snapToGrid w:val="0"/>
                <w:kern w:val="0"/>
                <w:sz w:val="21"/>
                <w:szCs w:val="21"/>
              </w:rPr>
            </w:pPr>
            <w:r>
              <w:rPr>
                <w:rFonts w:ascii="Times New Roman" w:hAnsi="Times New Roman"/>
                <w:caps w:val="0"/>
                <w:snapToGrid w:val="0"/>
                <w:kern w:val="0"/>
                <w:sz w:val="21"/>
                <w:szCs w:val="21"/>
              </w:rPr>
              <w:t>15</w:t>
            </w:r>
          </w:p>
        </w:tc>
        <w:tc>
          <w:tcPr>
            <w:tcW w:w="2399" w:type="dxa"/>
            <w:vAlign w:val="center"/>
          </w:tcPr>
          <w:p>
            <w:pPr>
              <w:widowControl w:val="0"/>
              <w:wordWrap/>
              <w:adjustRightInd w:val="0"/>
              <w:snapToGrid/>
              <w:spacing w:line="320" w:lineRule="exact"/>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城镇生活垃圾无害化处理率（%）</w:t>
            </w:r>
          </w:p>
        </w:tc>
        <w:tc>
          <w:tcPr>
            <w:tcW w:w="1246"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100</w:t>
            </w:r>
          </w:p>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(新华街)</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100</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100</w:t>
            </w:r>
          </w:p>
        </w:tc>
        <w:tc>
          <w:tcPr>
            <w:tcW w:w="972"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预期性</w:t>
            </w:r>
          </w:p>
        </w:tc>
        <w:tc>
          <w:tcPr>
            <w:tcW w:w="96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100</w:t>
            </w:r>
          </w:p>
        </w:tc>
        <w:tc>
          <w:tcPr>
            <w:tcW w:w="91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dxa"/>
            <w:vMerge w:val="continue"/>
            <w:vAlign w:val="center"/>
          </w:tcPr>
          <w:p>
            <w:pPr>
              <w:widowControl w:val="0"/>
              <w:wordWrap/>
              <w:adjustRightInd w:val="0"/>
              <w:snapToGrid/>
              <w:spacing w:line="320" w:lineRule="exact"/>
              <w:jc w:val="center"/>
              <w:textAlignment w:val="auto"/>
              <w:rPr>
                <w:rFonts w:hint="eastAsia" w:ascii="Times New Roman" w:hAnsi="Times New Roman" w:eastAsia="黑体" w:cs="黑体"/>
                <w:caps w:val="0"/>
                <w:snapToGrid w:val="0"/>
                <w:kern w:val="0"/>
                <w:sz w:val="24"/>
                <w:szCs w:val="21"/>
              </w:rPr>
            </w:pPr>
          </w:p>
        </w:tc>
        <w:tc>
          <w:tcPr>
            <w:tcW w:w="653" w:type="dxa"/>
            <w:vAlign w:val="center"/>
          </w:tcPr>
          <w:p>
            <w:pPr>
              <w:widowControl w:val="0"/>
              <w:wordWrap/>
              <w:adjustRightInd w:val="0"/>
              <w:snapToGrid/>
              <w:spacing w:line="320" w:lineRule="exact"/>
              <w:jc w:val="center"/>
              <w:textAlignment w:val="auto"/>
              <w:rPr>
                <w:rFonts w:ascii="Times New Roman" w:hAnsi="Times New Roman"/>
                <w:caps w:val="0"/>
                <w:snapToGrid w:val="0"/>
                <w:kern w:val="0"/>
                <w:sz w:val="21"/>
                <w:szCs w:val="21"/>
              </w:rPr>
            </w:pPr>
            <w:r>
              <w:rPr>
                <w:rFonts w:ascii="Times New Roman" w:hAnsi="Times New Roman"/>
                <w:caps w:val="0"/>
                <w:snapToGrid w:val="0"/>
                <w:kern w:val="0"/>
                <w:sz w:val="21"/>
                <w:szCs w:val="21"/>
              </w:rPr>
              <w:t>16</w:t>
            </w:r>
          </w:p>
        </w:tc>
        <w:tc>
          <w:tcPr>
            <w:tcW w:w="2399" w:type="dxa"/>
            <w:vAlign w:val="center"/>
          </w:tcPr>
          <w:p>
            <w:pPr>
              <w:widowControl w:val="0"/>
              <w:wordWrap/>
              <w:adjustRightInd w:val="0"/>
              <w:snapToGrid/>
              <w:spacing w:line="320" w:lineRule="exact"/>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工业固体废物处置利用率（%）</w:t>
            </w:r>
          </w:p>
        </w:tc>
        <w:tc>
          <w:tcPr>
            <w:tcW w:w="1246"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74.9</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≥90</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≥95</w:t>
            </w:r>
          </w:p>
        </w:tc>
        <w:tc>
          <w:tcPr>
            <w:tcW w:w="972"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预期性</w:t>
            </w:r>
          </w:p>
        </w:tc>
        <w:tc>
          <w:tcPr>
            <w:tcW w:w="96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hint="eastAsia" w:ascii="Times New Roman" w:hAnsi="Times New Roman" w:eastAsia="宋体"/>
                <w:caps w:val="0"/>
                <w:snapToGrid w:val="0"/>
                <w:kern w:val="0"/>
                <w:sz w:val="21"/>
                <w:szCs w:val="21"/>
              </w:rPr>
              <w:t>/</w:t>
            </w:r>
          </w:p>
        </w:tc>
        <w:tc>
          <w:tcPr>
            <w:tcW w:w="91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dxa"/>
            <w:vMerge w:val="continue"/>
            <w:vAlign w:val="center"/>
          </w:tcPr>
          <w:p>
            <w:pPr>
              <w:widowControl w:val="0"/>
              <w:wordWrap/>
              <w:adjustRightInd w:val="0"/>
              <w:snapToGrid/>
              <w:spacing w:line="320" w:lineRule="exact"/>
              <w:jc w:val="center"/>
              <w:textAlignment w:val="auto"/>
              <w:rPr>
                <w:rFonts w:hint="eastAsia" w:ascii="Times New Roman" w:hAnsi="Times New Roman" w:eastAsia="黑体" w:cs="黑体"/>
                <w:caps w:val="0"/>
                <w:snapToGrid w:val="0"/>
                <w:kern w:val="0"/>
                <w:sz w:val="24"/>
                <w:szCs w:val="21"/>
              </w:rPr>
            </w:pPr>
          </w:p>
        </w:tc>
        <w:tc>
          <w:tcPr>
            <w:tcW w:w="653" w:type="dxa"/>
            <w:vAlign w:val="center"/>
          </w:tcPr>
          <w:p>
            <w:pPr>
              <w:widowControl w:val="0"/>
              <w:wordWrap/>
              <w:adjustRightInd w:val="0"/>
              <w:snapToGrid/>
              <w:spacing w:line="320" w:lineRule="exact"/>
              <w:jc w:val="center"/>
              <w:textAlignment w:val="auto"/>
              <w:rPr>
                <w:rFonts w:ascii="Times New Roman" w:hAnsi="Times New Roman"/>
                <w:caps w:val="0"/>
                <w:snapToGrid w:val="0"/>
                <w:kern w:val="0"/>
                <w:sz w:val="21"/>
                <w:szCs w:val="21"/>
              </w:rPr>
            </w:pPr>
            <w:r>
              <w:rPr>
                <w:rFonts w:ascii="Times New Roman" w:hAnsi="Times New Roman"/>
                <w:caps w:val="0"/>
                <w:snapToGrid w:val="0"/>
                <w:kern w:val="0"/>
                <w:sz w:val="21"/>
                <w:szCs w:val="21"/>
              </w:rPr>
              <w:t>17</w:t>
            </w:r>
          </w:p>
        </w:tc>
        <w:tc>
          <w:tcPr>
            <w:tcW w:w="2399" w:type="dxa"/>
            <w:vAlign w:val="center"/>
          </w:tcPr>
          <w:p>
            <w:pPr>
              <w:widowControl w:val="0"/>
              <w:wordWrap/>
              <w:adjustRightInd w:val="0"/>
              <w:snapToGrid/>
              <w:spacing w:line="320" w:lineRule="exact"/>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危险废物处理处置率（%）</w:t>
            </w:r>
          </w:p>
        </w:tc>
        <w:tc>
          <w:tcPr>
            <w:tcW w:w="1246"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100</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100</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100</w:t>
            </w:r>
          </w:p>
        </w:tc>
        <w:tc>
          <w:tcPr>
            <w:tcW w:w="972"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预期性</w:t>
            </w:r>
          </w:p>
        </w:tc>
        <w:tc>
          <w:tcPr>
            <w:tcW w:w="96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100</w:t>
            </w:r>
          </w:p>
        </w:tc>
        <w:tc>
          <w:tcPr>
            <w:tcW w:w="91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dxa"/>
            <w:vMerge w:val="continue"/>
            <w:vAlign w:val="center"/>
          </w:tcPr>
          <w:p>
            <w:pPr>
              <w:widowControl w:val="0"/>
              <w:wordWrap/>
              <w:adjustRightInd w:val="0"/>
              <w:snapToGrid/>
              <w:spacing w:line="320" w:lineRule="exact"/>
              <w:jc w:val="center"/>
              <w:textAlignment w:val="auto"/>
              <w:rPr>
                <w:rFonts w:hint="eastAsia" w:ascii="Times New Roman" w:hAnsi="Times New Roman" w:eastAsia="黑体" w:cs="黑体"/>
                <w:caps w:val="0"/>
                <w:snapToGrid w:val="0"/>
                <w:kern w:val="0"/>
                <w:sz w:val="24"/>
                <w:szCs w:val="21"/>
              </w:rPr>
            </w:pPr>
          </w:p>
        </w:tc>
        <w:tc>
          <w:tcPr>
            <w:tcW w:w="653" w:type="dxa"/>
            <w:vAlign w:val="center"/>
          </w:tcPr>
          <w:p>
            <w:pPr>
              <w:widowControl w:val="0"/>
              <w:wordWrap/>
              <w:adjustRightInd w:val="0"/>
              <w:snapToGrid/>
              <w:spacing w:line="320" w:lineRule="exact"/>
              <w:jc w:val="center"/>
              <w:textAlignment w:val="auto"/>
              <w:rPr>
                <w:rFonts w:ascii="Times New Roman" w:hAnsi="Times New Roman"/>
                <w:caps w:val="0"/>
                <w:snapToGrid w:val="0"/>
                <w:kern w:val="0"/>
                <w:sz w:val="21"/>
                <w:szCs w:val="21"/>
              </w:rPr>
            </w:pPr>
            <w:r>
              <w:rPr>
                <w:rFonts w:ascii="Times New Roman" w:hAnsi="Times New Roman"/>
                <w:caps w:val="0"/>
                <w:snapToGrid w:val="0"/>
                <w:kern w:val="0"/>
                <w:sz w:val="21"/>
                <w:szCs w:val="21"/>
              </w:rPr>
              <w:t>18</w:t>
            </w:r>
          </w:p>
        </w:tc>
        <w:tc>
          <w:tcPr>
            <w:tcW w:w="2399" w:type="dxa"/>
            <w:vAlign w:val="center"/>
          </w:tcPr>
          <w:p>
            <w:pPr>
              <w:widowControl w:val="0"/>
              <w:wordWrap/>
              <w:adjustRightInd w:val="0"/>
              <w:snapToGrid/>
              <w:spacing w:line="320" w:lineRule="exact"/>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机动车环保定期检测率（%）</w:t>
            </w:r>
          </w:p>
        </w:tc>
        <w:tc>
          <w:tcPr>
            <w:tcW w:w="1246"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≥90</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100</w:t>
            </w:r>
          </w:p>
        </w:tc>
        <w:tc>
          <w:tcPr>
            <w:tcW w:w="972"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预期性</w:t>
            </w:r>
          </w:p>
        </w:tc>
        <w:tc>
          <w:tcPr>
            <w:tcW w:w="96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z w:val="21"/>
                <w:szCs w:val="21"/>
              </w:rPr>
              <w:t>/</w:t>
            </w:r>
          </w:p>
        </w:tc>
        <w:tc>
          <w:tcPr>
            <w:tcW w:w="91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dxa"/>
            <w:vMerge w:val="continue"/>
            <w:vAlign w:val="center"/>
          </w:tcPr>
          <w:p>
            <w:pPr>
              <w:widowControl w:val="0"/>
              <w:wordWrap/>
              <w:adjustRightInd w:val="0"/>
              <w:snapToGrid/>
              <w:spacing w:line="320" w:lineRule="exact"/>
              <w:jc w:val="center"/>
              <w:textAlignment w:val="auto"/>
              <w:rPr>
                <w:rFonts w:hint="eastAsia" w:ascii="Times New Roman" w:hAnsi="Times New Roman" w:eastAsia="黑体" w:cs="黑体"/>
                <w:caps w:val="0"/>
                <w:snapToGrid w:val="0"/>
                <w:kern w:val="0"/>
                <w:sz w:val="24"/>
                <w:szCs w:val="21"/>
              </w:rPr>
            </w:pPr>
          </w:p>
        </w:tc>
        <w:tc>
          <w:tcPr>
            <w:tcW w:w="653" w:type="dxa"/>
            <w:vAlign w:val="center"/>
          </w:tcPr>
          <w:p>
            <w:pPr>
              <w:widowControl w:val="0"/>
              <w:wordWrap/>
              <w:adjustRightInd w:val="0"/>
              <w:snapToGrid/>
              <w:spacing w:line="320" w:lineRule="exact"/>
              <w:jc w:val="center"/>
              <w:textAlignment w:val="auto"/>
              <w:rPr>
                <w:rFonts w:ascii="Times New Roman" w:hAnsi="Times New Roman"/>
                <w:caps w:val="0"/>
                <w:snapToGrid w:val="0"/>
                <w:kern w:val="0"/>
                <w:sz w:val="21"/>
                <w:szCs w:val="21"/>
              </w:rPr>
            </w:pPr>
            <w:r>
              <w:rPr>
                <w:rFonts w:ascii="Times New Roman" w:hAnsi="Times New Roman"/>
                <w:caps w:val="0"/>
                <w:snapToGrid w:val="0"/>
                <w:kern w:val="0"/>
                <w:sz w:val="21"/>
                <w:szCs w:val="21"/>
              </w:rPr>
              <w:t>19</w:t>
            </w:r>
          </w:p>
        </w:tc>
        <w:tc>
          <w:tcPr>
            <w:tcW w:w="2399" w:type="dxa"/>
            <w:vAlign w:val="center"/>
          </w:tcPr>
          <w:p>
            <w:pPr>
              <w:widowControl w:val="0"/>
              <w:wordWrap/>
              <w:adjustRightInd w:val="0"/>
              <w:snapToGrid/>
              <w:spacing w:line="320" w:lineRule="exact"/>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工业用水重复利用率（%）</w:t>
            </w:r>
          </w:p>
        </w:tc>
        <w:tc>
          <w:tcPr>
            <w:tcW w:w="1246"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63.4</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≥65</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≥70</w:t>
            </w:r>
          </w:p>
        </w:tc>
        <w:tc>
          <w:tcPr>
            <w:tcW w:w="972"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预期性</w:t>
            </w:r>
          </w:p>
        </w:tc>
        <w:tc>
          <w:tcPr>
            <w:tcW w:w="96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w:t>
            </w:r>
          </w:p>
        </w:tc>
        <w:tc>
          <w:tcPr>
            <w:tcW w:w="91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dxa"/>
            <w:vMerge w:val="continue"/>
            <w:vAlign w:val="center"/>
          </w:tcPr>
          <w:p>
            <w:pPr>
              <w:widowControl w:val="0"/>
              <w:wordWrap/>
              <w:adjustRightInd w:val="0"/>
              <w:snapToGrid/>
              <w:spacing w:line="320" w:lineRule="exact"/>
              <w:jc w:val="center"/>
              <w:textAlignment w:val="auto"/>
              <w:rPr>
                <w:rFonts w:hint="eastAsia" w:ascii="Times New Roman" w:hAnsi="Times New Roman" w:eastAsia="黑体" w:cs="黑体"/>
                <w:caps w:val="0"/>
                <w:snapToGrid w:val="0"/>
                <w:kern w:val="0"/>
                <w:sz w:val="24"/>
                <w:szCs w:val="21"/>
              </w:rPr>
            </w:pPr>
          </w:p>
        </w:tc>
        <w:tc>
          <w:tcPr>
            <w:tcW w:w="653" w:type="dxa"/>
            <w:vAlign w:val="center"/>
          </w:tcPr>
          <w:p>
            <w:pPr>
              <w:widowControl w:val="0"/>
              <w:wordWrap/>
              <w:adjustRightInd w:val="0"/>
              <w:snapToGrid/>
              <w:spacing w:line="320" w:lineRule="exact"/>
              <w:jc w:val="center"/>
              <w:textAlignment w:val="auto"/>
              <w:rPr>
                <w:rFonts w:ascii="Times New Roman" w:hAnsi="Times New Roman"/>
                <w:caps w:val="0"/>
                <w:snapToGrid w:val="0"/>
                <w:kern w:val="0"/>
                <w:sz w:val="21"/>
                <w:szCs w:val="21"/>
              </w:rPr>
            </w:pPr>
            <w:r>
              <w:rPr>
                <w:rFonts w:ascii="Times New Roman" w:hAnsi="Times New Roman"/>
                <w:caps w:val="0"/>
                <w:snapToGrid w:val="0"/>
                <w:kern w:val="0"/>
                <w:sz w:val="21"/>
                <w:szCs w:val="21"/>
              </w:rPr>
              <w:t>20</w:t>
            </w:r>
          </w:p>
        </w:tc>
        <w:tc>
          <w:tcPr>
            <w:tcW w:w="2399" w:type="dxa"/>
            <w:vAlign w:val="center"/>
          </w:tcPr>
          <w:p>
            <w:pPr>
              <w:widowControl w:val="0"/>
              <w:wordWrap/>
              <w:adjustRightInd w:val="0"/>
              <w:snapToGrid/>
              <w:spacing w:line="320" w:lineRule="exact"/>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公众对城市环境的满意率（%）</w:t>
            </w:r>
          </w:p>
        </w:tc>
        <w:tc>
          <w:tcPr>
            <w:tcW w:w="1246"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≥95</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≥95</w:t>
            </w:r>
          </w:p>
        </w:tc>
        <w:tc>
          <w:tcPr>
            <w:tcW w:w="972"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预期性</w:t>
            </w:r>
          </w:p>
        </w:tc>
        <w:tc>
          <w:tcPr>
            <w:tcW w:w="96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w:t>
            </w:r>
          </w:p>
        </w:tc>
        <w:tc>
          <w:tcPr>
            <w:tcW w:w="91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dxa"/>
            <w:vMerge w:val="restart"/>
            <w:vAlign w:val="center"/>
          </w:tcPr>
          <w:p>
            <w:pPr>
              <w:widowControl w:val="0"/>
              <w:wordWrap/>
              <w:adjustRightInd w:val="0"/>
              <w:snapToGrid/>
              <w:spacing w:line="320" w:lineRule="exact"/>
              <w:jc w:val="center"/>
              <w:textAlignment w:val="auto"/>
              <w:rPr>
                <w:rFonts w:hint="eastAsia" w:ascii="Times New Roman" w:hAnsi="Times New Roman" w:eastAsia="黑体" w:cs="黑体"/>
                <w:caps w:val="0"/>
                <w:snapToGrid w:val="0"/>
                <w:kern w:val="0"/>
                <w:sz w:val="24"/>
                <w:szCs w:val="21"/>
              </w:rPr>
            </w:pPr>
            <w:r>
              <w:rPr>
                <w:rFonts w:hint="eastAsia" w:ascii="Times New Roman" w:hAnsi="Times New Roman" w:eastAsia="黑体" w:cs="黑体"/>
                <w:caps w:val="0"/>
                <w:snapToGrid w:val="0"/>
                <w:kern w:val="0"/>
                <w:sz w:val="24"/>
                <w:szCs w:val="21"/>
              </w:rPr>
              <w:t>生态环境</w:t>
            </w:r>
          </w:p>
        </w:tc>
        <w:tc>
          <w:tcPr>
            <w:tcW w:w="653" w:type="dxa"/>
            <w:vAlign w:val="center"/>
          </w:tcPr>
          <w:p>
            <w:pPr>
              <w:widowControl w:val="0"/>
              <w:wordWrap/>
              <w:adjustRightInd w:val="0"/>
              <w:snapToGrid/>
              <w:spacing w:line="320" w:lineRule="exact"/>
              <w:jc w:val="center"/>
              <w:textAlignment w:val="auto"/>
              <w:rPr>
                <w:rFonts w:ascii="Times New Roman" w:hAnsi="Times New Roman"/>
                <w:caps w:val="0"/>
                <w:snapToGrid w:val="0"/>
                <w:kern w:val="0"/>
                <w:sz w:val="21"/>
                <w:szCs w:val="21"/>
              </w:rPr>
            </w:pPr>
            <w:r>
              <w:rPr>
                <w:rFonts w:ascii="Times New Roman" w:hAnsi="Times New Roman"/>
                <w:caps w:val="0"/>
                <w:snapToGrid w:val="0"/>
                <w:kern w:val="0"/>
                <w:sz w:val="21"/>
                <w:szCs w:val="21"/>
              </w:rPr>
              <w:t>21</w:t>
            </w:r>
          </w:p>
        </w:tc>
        <w:tc>
          <w:tcPr>
            <w:tcW w:w="2399" w:type="dxa"/>
            <w:vAlign w:val="center"/>
          </w:tcPr>
          <w:p>
            <w:pPr>
              <w:widowControl w:val="0"/>
              <w:wordWrap/>
              <w:adjustRightInd w:val="0"/>
              <w:snapToGrid/>
              <w:spacing w:line="320" w:lineRule="exact"/>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森林覆盖率（%）</w:t>
            </w:r>
          </w:p>
        </w:tc>
        <w:tc>
          <w:tcPr>
            <w:tcW w:w="1246"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36.5</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36.6</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36.8</w:t>
            </w:r>
          </w:p>
        </w:tc>
        <w:tc>
          <w:tcPr>
            <w:tcW w:w="972"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预期性</w:t>
            </w:r>
          </w:p>
        </w:tc>
        <w:tc>
          <w:tcPr>
            <w:tcW w:w="96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38.3</w:t>
            </w:r>
          </w:p>
        </w:tc>
        <w:tc>
          <w:tcPr>
            <w:tcW w:w="91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dxa"/>
            <w:vMerge w:val="continue"/>
            <w:vAlign w:val="center"/>
          </w:tcPr>
          <w:p>
            <w:pPr>
              <w:widowControl w:val="0"/>
              <w:wordWrap/>
              <w:adjustRightInd w:val="0"/>
              <w:snapToGrid/>
              <w:spacing w:line="320" w:lineRule="exact"/>
              <w:jc w:val="center"/>
              <w:textAlignment w:val="auto"/>
              <w:rPr>
                <w:rFonts w:ascii="Times New Roman" w:hAnsi="Times New Roman"/>
                <w:caps w:val="0"/>
                <w:snapToGrid w:val="0"/>
                <w:kern w:val="0"/>
                <w:sz w:val="24"/>
                <w:szCs w:val="21"/>
              </w:rPr>
            </w:pPr>
          </w:p>
        </w:tc>
        <w:tc>
          <w:tcPr>
            <w:tcW w:w="653" w:type="dxa"/>
            <w:vAlign w:val="center"/>
          </w:tcPr>
          <w:p>
            <w:pPr>
              <w:widowControl w:val="0"/>
              <w:wordWrap/>
              <w:adjustRightInd w:val="0"/>
              <w:snapToGrid/>
              <w:spacing w:line="320" w:lineRule="exact"/>
              <w:jc w:val="center"/>
              <w:textAlignment w:val="auto"/>
              <w:rPr>
                <w:rFonts w:ascii="Times New Roman" w:hAnsi="Times New Roman"/>
                <w:caps w:val="0"/>
                <w:snapToGrid w:val="0"/>
                <w:kern w:val="0"/>
                <w:sz w:val="21"/>
                <w:szCs w:val="21"/>
              </w:rPr>
            </w:pPr>
            <w:r>
              <w:rPr>
                <w:rFonts w:ascii="Times New Roman" w:hAnsi="Times New Roman"/>
                <w:caps w:val="0"/>
                <w:snapToGrid w:val="0"/>
                <w:kern w:val="0"/>
                <w:sz w:val="21"/>
                <w:szCs w:val="21"/>
              </w:rPr>
              <w:t>22</w:t>
            </w:r>
          </w:p>
        </w:tc>
        <w:tc>
          <w:tcPr>
            <w:tcW w:w="2399" w:type="dxa"/>
            <w:vAlign w:val="center"/>
          </w:tcPr>
          <w:p>
            <w:pPr>
              <w:widowControl w:val="0"/>
              <w:wordWrap/>
              <w:adjustRightInd w:val="0"/>
              <w:snapToGrid/>
              <w:spacing w:line="320" w:lineRule="exact"/>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建成区人均公共绿地面积</w:t>
            </w:r>
          </w:p>
          <w:p>
            <w:pPr>
              <w:widowControl w:val="0"/>
              <w:wordWrap/>
              <w:adjustRightInd w:val="0"/>
              <w:snapToGrid/>
              <w:spacing w:line="320" w:lineRule="exact"/>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（平方米）</w:t>
            </w:r>
          </w:p>
        </w:tc>
        <w:tc>
          <w:tcPr>
            <w:tcW w:w="1246"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13.5</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≥15</w:t>
            </w:r>
          </w:p>
        </w:tc>
        <w:tc>
          <w:tcPr>
            <w:tcW w:w="841"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≥16</w:t>
            </w:r>
          </w:p>
        </w:tc>
        <w:tc>
          <w:tcPr>
            <w:tcW w:w="972"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napToGrid w:val="0"/>
                <w:kern w:val="0"/>
                <w:sz w:val="21"/>
                <w:szCs w:val="21"/>
              </w:rPr>
              <w:t>预期性</w:t>
            </w:r>
          </w:p>
        </w:tc>
        <w:tc>
          <w:tcPr>
            <w:tcW w:w="96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hint="eastAsia" w:ascii="Times New Roman" w:hAnsi="Times New Roman" w:eastAsia="宋体"/>
                <w:caps w:val="0"/>
                <w:snapToGrid w:val="0"/>
                <w:kern w:val="0"/>
                <w:sz w:val="21"/>
                <w:szCs w:val="21"/>
              </w:rPr>
              <w:t>/</w:t>
            </w:r>
          </w:p>
        </w:tc>
        <w:tc>
          <w:tcPr>
            <w:tcW w:w="917" w:type="dxa"/>
            <w:vAlign w:val="center"/>
          </w:tcPr>
          <w:p>
            <w:pPr>
              <w:widowControl w:val="0"/>
              <w:wordWrap/>
              <w:adjustRightInd w:val="0"/>
              <w:snapToGrid/>
              <w:spacing w:line="320" w:lineRule="exact"/>
              <w:jc w:val="center"/>
              <w:textAlignment w:val="auto"/>
              <w:rPr>
                <w:rFonts w:ascii="Times New Roman" w:hAnsi="Times New Roman" w:eastAsia="宋体"/>
                <w:caps w:val="0"/>
                <w:snapToGrid w:val="0"/>
                <w:kern w:val="0"/>
                <w:sz w:val="21"/>
                <w:szCs w:val="21"/>
              </w:rPr>
            </w:pPr>
            <w:r>
              <w:rPr>
                <w:rFonts w:ascii="Times New Roman" w:hAnsi="Times New Roman" w:eastAsia="宋体"/>
                <w:caps w:val="0"/>
                <w:sz w:val="21"/>
                <w:szCs w:val="21"/>
              </w:rPr>
              <w:t>/</w:t>
            </w:r>
          </w:p>
        </w:tc>
      </w:tr>
    </w:tbl>
    <w:p>
      <w:pPr>
        <w:widowControl w:val="0"/>
        <w:wordWrap/>
        <w:adjustRightInd/>
        <w:snapToGrid/>
        <w:spacing w:line="240" w:lineRule="auto"/>
        <w:textAlignment w:val="auto"/>
        <w:rPr>
          <w:rFonts w:ascii="Times New Roman" w:hAnsi="Times New Roman"/>
        </w:rPr>
        <w:sectPr>
          <w:pgSz w:w="11906" w:h="16838"/>
          <w:pgMar w:top="2098" w:right="1474" w:bottom="1984" w:left="1587" w:header="851" w:footer="1531" w:gutter="0"/>
          <w:pgNumType w:fmt="decimal"/>
          <w:cols w:space="720" w:num="1"/>
          <w:rtlGutter w:val="0"/>
          <w:docGrid w:type="linesAndChars" w:linePitch="579" w:charSpace="-842"/>
        </w:sectPr>
      </w:pPr>
    </w:p>
    <w:p>
      <w:pPr>
        <w:pStyle w:val="3"/>
        <w:keepNext/>
        <w:keepLines/>
        <w:widowControl w:val="0"/>
        <w:wordWrap/>
        <w:adjustRightInd/>
        <w:snapToGrid/>
        <w:spacing w:beforeLines="50" w:afterLines="50" w:line="240" w:lineRule="auto"/>
        <w:ind w:firstLine="632" w:firstLineChars="200"/>
        <w:jc w:val="both"/>
        <w:textAlignment w:val="auto"/>
        <w:rPr>
          <w:rFonts w:hint="eastAsia" w:ascii="Times New Roman" w:hAnsi="Times New Roman" w:eastAsia="黑体" w:cs="黑体"/>
          <w:b w:val="0"/>
          <w:bCs w:val="0"/>
          <w:caps w:val="0"/>
          <w:sz w:val="32"/>
          <w:szCs w:val="32"/>
        </w:rPr>
      </w:pPr>
      <w:bookmarkStart w:id="23" w:name="_Toc88053802"/>
      <w:r>
        <w:rPr>
          <w:rFonts w:hint="eastAsia" w:ascii="Times New Roman" w:hAnsi="Times New Roman" w:eastAsia="黑体" w:cs="黑体"/>
          <w:b w:val="0"/>
          <w:bCs w:val="0"/>
          <w:caps w:val="0"/>
          <w:sz w:val="32"/>
          <w:szCs w:val="32"/>
        </w:rPr>
        <w:t>3、机遇与挑战</w:t>
      </w:r>
      <w:bookmarkEnd w:id="23"/>
    </w:p>
    <w:p>
      <w:pPr>
        <w:pStyle w:val="4"/>
        <w:keepNext/>
        <w:keepLines/>
        <w:widowControl w:val="0"/>
        <w:wordWrap/>
        <w:adjustRightInd/>
        <w:snapToGrid/>
        <w:spacing w:beforeLines="50" w:afterLines="50" w:line="240" w:lineRule="auto"/>
        <w:ind w:firstLine="632" w:firstLineChars="200"/>
        <w:jc w:val="both"/>
        <w:textAlignment w:val="auto"/>
        <w:rPr>
          <w:rFonts w:hint="eastAsia" w:ascii="Times New Roman" w:hAnsi="Times New Roman" w:eastAsia="楷体_GB2312" w:cs="楷体_GB2312"/>
          <w:b w:val="0"/>
          <w:bCs w:val="0"/>
          <w:caps w:val="0"/>
          <w:sz w:val="32"/>
          <w:szCs w:val="32"/>
        </w:rPr>
      </w:pPr>
      <w:bookmarkStart w:id="24" w:name="_Toc88053803"/>
      <w:r>
        <w:rPr>
          <w:rFonts w:hint="eastAsia" w:ascii="Times New Roman" w:hAnsi="Times New Roman" w:eastAsia="楷体_GB2312" w:cs="楷体_GB2312"/>
          <w:b w:val="0"/>
          <w:bCs w:val="0"/>
          <w:caps w:val="0"/>
          <w:sz w:val="32"/>
          <w:szCs w:val="32"/>
        </w:rPr>
        <w:t>3.1新机遇</w:t>
      </w:r>
      <w:bookmarkEnd w:id="24"/>
    </w:p>
    <w:p>
      <w:pPr>
        <w:widowControl w:val="0"/>
        <w:wordWrap/>
        <w:adjustRightInd/>
        <w:snapToGrid/>
        <w:spacing w:line="592" w:lineRule="exact"/>
        <w:ind w:firstLine="632" w:firstLineChars="200"/>
        <w:jc w:val="both"/>
        <w:textAlignment w:val="auto"/>
        <w:rPr>
          <w:rFonts w:hint="eastAsia" w:ascii="Times New Roman" w:hAnsi="Times New Roman" w:eastAsia="仿宋_GB2312" w:cs="仿宋_GB2312"/>
          <w:caps w:val="0"/>
          <w:kern w:val="21"/>
          <w:sz w:val="32"/>
          <w:szCs w:val="32"/>
        </w:rPr>
      </w:pPr>
      <w:r>
        <w:rPr>
          <w:rFonts w:hint="eastAsia" w:ascii="Times New Roman" w:hAnsi="Times New Roman" w:eastAsia="仿宋_GB2312" w:cs="仿宋_GB2312"/>
          <w:b/>
          <w:bCs/>
          <w:caps w:val="0"/>
          <w:kern w:val="21"/>
          <w:sz w:val="32"/>
          <w:szCs w:val="32"/>
        </w:rPr>
        <w:t>新理念引领：习近平生态文明思想为生态环境保护工作提供行动指南。</w:t>
      </w:r>
      <w:r>
        <w:rPr>
          <w:rFonts w:hint="eastAsia" w:ascii="Times New Roman" w:hAnsi="Times New Roman" w:eastAsia="仿宋_GB2312" w:cs="仿宋_GB2312"/>
          <w:caps w:val="0"/>
          <w:kern w:val="21"/>
          <w:sz w:val="32"/>
          <w:szCs w:val="32"/>
        </w:rPr>
        <w:t>习近平生态文明思想是新时代生态文明建设的根本遵循，为花都全面做好生态环境保护工作提供了强大动力，为建设美丽花都指明了方向。我国碳达峰目标和碳中和愿景明确了将以降碳为源头治理的“牛鼻子”，倒逼产业、能源、交通等实现低碳转型，为加快贯彻推进“碳达峰”、强化资源和能源的节约利用、推动生产生活方式持续向绿色化转型、全面提升绿色发展水平提供力量源泉。</w:t>
      </w:r>
    </w:p>
    <w:p>
      <w:pPr>
        <w:widowControl w:val="0"/>
        <w:wordWrap/>
        <w:adjustRightInd/>
        <w:snapToGrid/>
        <w:spacing w:line="592" w:lineRule="exact"/>
        <w:ind w:firstLine="632" w:firstLineChars="200"/>
        <w:jc w:val="both"/>
        <w:textAlignment w:val="auto"/>
        <w:rPr>
          <w:rFonts w:ascii="Times New Roman" w:hAnsi="Times New Roman"/>
          <w:caps w:val="0"/>
          <w:kern w:val="21"/>
          <w:sz w:val="32"/>
          <w:szCs w:val="32"/>
        </w:rPr>
      </w:pPr>
      <w:r>
        <w:rPr>
          <w:rFonts w:ascii="Times New Roman" w:hAnsi="Times New Roman"/>
          <w:b/>
          <w:caps w:val="0"/>
          <w:kern w:val="21"/>
          <w:sz w:val="32"/>
          <w:szCs w:val="32"/>
        </w:rPr>
        <w:t>新阶段启程：生态环境质量改善的良好基础及外在激活力</w:t>
      </w:r>
      <w:r>
        <w:rPr>
          <w:rFonts w:hint="eastAsia"/>
          <w:b/>
          <w:caps w:val="0"/>
          <w:kern w:val="21"/>
          <w:sz w:val="32"/>
          <w:szCs w:val="32"/>
          <w:lang w:eastAsia="zh-CN"/>
        </w:rPr>
        <w:t>的</w:t>
      </w:r>
      <w:r>
        <w:rPr>
          <w:rFonts w:ascii="Times New Roman" w:hAnsi="Times New Roman"/>
          <w:b/>
          <w:caps w:val="0"/>
          <w:kern w:val="21"/>
          <w:sz w:val="32"/>
          <w:szCs w:val="32"/>
        </w:rPr>
        <w:t>逐步增强为生态环境保护事业发展提供了强大动力。</w:t>
      </w:r>
      <w:r>
        <w:rPr>
          <w:rFonts w:ascii="Times New Roman" w:hAnsi="Times New Roman"/>
          <w:caps w:val="0"/>
          <w:kern w:val="21"/>
          <w:sz w:val="32"/>
          <w:szCs w:val="32"/>
        </w:rPr>
        <w:t>2013年以来</w:t>
      </w:r>
      <w:r>
        <w:rPr>
          <w:rFonts w:hint="eastAsia"/>
          <w:caps w:val="0"/>
          <w:kern w:val="21"/>
          <w:sz w:val="32"/>
          <w:szCs w:val="32"/>
          <w:lang w:eastAsia="zh-CN"/>
        </w:rPr>
        <w:t>，</w:t>
      </w:r>
      <w:r>
        <w:rPr>
          <w:rFonts w:ascii="Times New Roman" w:hAnsi="Times New Roman"/>
          <w:caps w:val="0"/>
          <w:kern w:val="21"/>
          <w:sz w:val="32"/>
          <w:szCs w:val="32"/>
        </w:rPr>
        <w:t>花都区生态环境质量改善明显，生态环境保护与经济发展更加协调，为新时期生态环境质量持续改善提供了良好的基础条件。同时，产业技术创新变革，5G、物联网、大数据、人工智能、区块链等新技术、新业态将给生态环境治理带来新手段、新模式，为实现智慧环保注入新动能。规划期内，花都</w:t>
      </w:r>
      <w:r>
        <w:rPr>
          <w:rFonts w:hint="eastAsia"/>
          <w:caps w:val="0"/>
          <w:kern w:val="21"/>
          <w:sz w:val="32"/>
          <w:szCs w:val="32"/>
          <w:lang w:eastAsia="zh-CN"/>
        </w:rPr>
        <w:t>区</w:t>
      </w:r>
      <w:r>
        <w:rPr>
          <w:rFonts w:ascii="Times New Roman" w:hAnsi="Times New Roman"/>
          <w:caps w:val="0"/>
          <w:kern w:val="21"/>
          <w:sz w:val="32"/>
          <w:szCs w:val="32"/>
        </w:rPr>
        <w:t>将深入推进城市更新，环境基础设施将得到明显改善，人居环境将得到显著提升，生态环境保护工作迎来新的机遇。</w:t>
      </w:r>
    </w:p>
    <w:p>
      <w:pPr>
        <w:widowControl w:val="0"/>
        <w:wordWrap/>
        <w:adjustRightInd/>
        <w:snapToGrid/>
        <w:spacing w:line="240" w:lineRule="auto"/>
        <w:ind w:firstLine="632" w:firstLineChars="200"/>
        <w:jc w:val="both"/>
        <w:textAlignment w:val="auto"/>
        <w:rPr>
          <w:rFonts w:ascii="Times New Roman" w:hAnsi="Times New Roman"/>
          <w:caps w:val="0"/>
          <w:kern w:val="21"/>
          <w:sz w:val="32"/>
          <w:szCs w:val="32"/>
        </w:rPr>
      </w:pPr>
      <w:r>
        <w:rPr>
          <w:rFonts w:hint="eastAsia" w:ascii="Times New Roman" w:hAnsi="Times New Roman" w:eastAsia="仿宋_GB2312" w:cs="仿宋_GB2312"/>
          <w:b/>
          <w:bCs/>
          <w:caps w:val="0"/>
          <w:kern w:val="21"/>
          <w:sz w:val="32"/>
          <w:szCs w:val="32"/>
        </w:rPr>
        <w:t>新格局构建：</w:t>
      </w:r>
      <w:bookmarkStart w:id="25" w:name="_Hlk69456292"/>
      <w:r>
        <w:rPr>
          <w:rFonts w:hint="eastAsia" w:ascii="Times New Roman" w:hAnsi="Times New Roman" w:eastAsia="仿宋_GB2312" w:cs="仿宋_GB2312"/>
          <w:b/>
          <w:bCs/>
          <w:caps w:val="0"/>
          <w:kern w:val="21"/>
          <w:sz w:val="32"/>
          <w:szCs w:val="32"/>
        </w:rPr>
        <w:t>重大战略的实施</w:t>
      </w:r>
      <w:bookmarkEnd w:id="25"/>
      <w:r>
        <w:rPr>
          <w:rFonts w:hint="eastAsia" w:ascii="Times New Roman" w:hAnsi="Times New Roman" w:eastAsia="仿宋_GB2312" w:cs="仿宋_GB2312"/>
          <w:b/>
          <w:bCs/>
          <w:caps w:val="0"/>
          <w:kern w:val="21"/>
          <w:sz w:val="32"/>
          <w:szCs w:val="32"/>
        </w:rPr>
        <w:t>和“大环保格局”的加速形成为生态环境保护带来重大契机。</w:t>
      </w:r>
      <w:r>
        <w:rPr>
          <w:rFonts w:hint="eastAsia" w:ascii="Times New Roman" w:hAnsi="Times New Roman" w:cs="仿宋_GB2312"/>
          <w:b w:val="0"/>
          <w:bCs w:val="0"/>
          <w:caps w:val="0"/>
          <w:kern w:val="21"/>
          <w:sz w:val="32"/>
          <w:szCs w:val="32"/>
          <w:lang w:eastAsia="zh-CN"/>
        </w:rPr>
        <w:t>随着</w:t>
      </w:r>
      <w:r>
        <w:rPr>
          <w:rFonts w:hint="eastAsia" w:ascii="Times New Roman" w:hAnsi="Times New Roman" w:eastAsia="仿宋_GB2312" w:cs="仿宋_GB2312"/>
          <w:caps w:val="0"/>
          <w:kern w:val="21"/>
          <w:sz w:val="32"/>
          <w:szCs w:val="32"/>
        </w:rPr>
        <w:t>“双区”建设</w:t>
      </w:r>
      <w:r>
        <w:rPr>
          <w:rFonts w:hint="eastAsia" w:ascii="Times New Roman" w:hAnsi="Times New Roman" w:cs="仿宋_GB2312"/>
          <w:caps w:val="0"/>
          <w:kern w:val="21"/>
          <w:sz w:val="32"/>
          <w:szCs w:val="32"/>
          <w:lang w:eastAsia="zh-CN"/>
        </w:rPr>
        <w:t>、</w:t>
      </w:r>
      <w:r>
        <w:rPr>
          <w:rFonts w:hint="eastAsia" w:ascii="Times New Roman" w:hAnsi="Times New Roman" w:eastAsia="仿宋_GB2312" w:cs="仿宋_GB2312"/>
          <w:caps w:val="0"/>
          <w:kern w:val="21"/>
          <w:sz w:val="32"/>
          <w:szCs w:val="32"/>
        </w:rPr>
        <w:t>“双城”联动</w:t>
      </w:r>
      <w:r>
        <w:rPr>
          <w:rFonts w:hint="eastAsia" w:ascii="Times New Roman" w:hAnsi="Times New Roman" w:cs="仿宋_GB2312"/>
          <w:caps w:val="0"/>
          <w:kern w:val="21"/>
          <w:sz w:val="32"/>
          <w:szCs w:val="32"/>
          <w:lang w:eastAsia="zh-CN"/>
        </w:rPr>
        <w:t>的</w:t>
      </w:r>
      <w:r>
        <w:rPr>
          <w:rFonts w:hint="eastAsia" w:ascii="Times New Roman" w:hAnsi="Times New Roman" w:eastAsia="仿宋_GB2312" w:cs="仿宋_GB2312"/>
          <w:caps w:val="0"/>
          <w:kern w:val="21"/>
          <w:sz w:val="32"/>
          <w:szCs w:val="32"/>
        </w:rPr>
        <w:t>推进，我区对优良生态环境的需求更加迫切，重大战略的实施有利于协同推进我区经济高质量发展和生态环境高水平保护</w:t>
      </w:r>
      <w:r>
        <w:rPr>
          <w:rFonts w:hint="eastAsia" w:ascii="Times New Roman" w:hAnsi="Times New Roman" w:eastAsia="仿宋_GB2312" w:cs="仿宋_GB2312"/>
          <w:bCs/>
          <w:caps w:val="0"/>
          <w:kern w:val="21"/>
          <w:sz w:val="32"/>
          <w:szCs w:val="32"/>
        </w:rPr>
        <w:t>，</w:t>
      </w:r>
      <w:r>
        <w:rPr>
          <w:rFonts w:hint="eastAsia" w:ascii="Times New Roman" w:hAnsi="Times New Roman" w:eastAsia="仿宋_GB2312" w:cs="仿宋_GB2312"/>
          <w:caps w:val="0"/>
          <w:kern w:val="21"/>
          <w:sz w:val="32"/>
          <w:szCs w:val="32"/>
        </w:rPr>
        <w:t>区域协调发展新格局也为生态环境合作协同、联防联控持续发力提供了有力保障。生态环境机构</w:t>
      </w:r>
      <w:r>
        <w:rPr>
          <w:rFonts w:hint="eastAsia" w:ascii="Times New Roman" w:hAnsi="Times New Roman" w:cs="仿宋_GB2312"/>
          <w:caps w:val="0"/>
          <w:kern w:val="21"/>
          <w:sz w:val="32"/>
          <w:szCs w:val="32"/>
          <w:lang w:eastAsia="zh-CN"/>
        </w:rPr>
        <w:t>的改革实现了</w:t>
      </w:r>
      <w:r>
        <w:rPr>
          <w:rFonts w:hint="eastAsia" w:ascii="Times New Roman" w:hAnsi="Times New Roman" w:eastAsia="仿宋_GB2312" w:cs="仿宋_GB2312"/>
          <w:caps w:val="0"/>
          <w:kern w:val="21"/>
          <w:sz w:val="32"/>
          <w:szCs w:val="32"/>
        </w:rPr>
        <w:t>“一个贯通”“五个打通”，有利于统筹协调我区生态环境保护领域</w:t>
      </w:r>
      <w:r>
        <w:rPr>
          <w:rFonts w:hint="eastAsia" w:ascii="Times New Roman" w:hAnsi="Times New Roman" w:cs="仿宋_GB2312"/>
          <w:caps w:val="0"/>
          <w:kern w:val="21"/>
          <w:sz w:val="32"/>
          <w:szCs w:val="32"/>
          <w:lang w:eastAsia="zh-CN"/>
        </w:rPr>
        <w:t>工作</w:t>
      </w:r>
      <w:r>
        <w:rPr>
          <w:rFonts w:hint="eastAsia" w:ascii="Times New Roman" w:hAnsi="Times New Roman" w:eastAsia="仿宋_GB2312" w:cs="仿宋_GB2312"/>
          <w:caps w:val="0"/>
          <w:kern w:val="21"/>
          <w:sz w:val="32"/>
          <w:szCs w:val="32"/>
        </w:rPr>
        <w:t>和</w:t>
      </w:r>
      <w:r>
        <w:rPr>
          <w:rFonts w:hint="eastAsia" w:ascii="Times New Roman" w:hAnsi="Times New Roman" w:cs="仿宋_GB2312"/>
          <w:caps w:val="0"/>
          <w:kern w:val="21"/>
          <w:sz w:val="32"/>
          <w:szCs w:val="32"/>
          <w:lang w:eastAsia="zh-CN"/>
        </w:rPr>
        <w:t>完善</w:t>
      </w:r>
      <w:r>
        <w:rPr>
          <w:rFonts w:hint="eastAsia" w:ascii="Times New Roman" w:hAnsi="Times New Roman" w:eastAsia="仿宋_GB2312" w:cs="仿宋_GB2312"/>
          <w:caps w:val="0"/>
          <w:kern w:val="21"/>
          <w:sz w:val="32"/>
          <w:szCs w:val="32"/>
        </w:rPr>
        <w:t>统一监督管理机制，“大环保格局”</w:t>
      </w:r>
      <w:r>
        <w:rPr>
          <w:rFonts w:hint="eastAsia" w:ascii="Times New Roman" w:hAnsi="Times New Roman" w:cs="仿宋_GB2312"/>
          <w:caps w:val="0"/>
          <w:kern w:val="21"/>
          <w:sz w:val="32"/>
          <w:szCs w:val="32"/>
          <w:lang w:eastAsia="zh-CN"/>
        </w:rPr>
        <w:t>正在</w:t>
      </w:r>
      <w:r>
        <w:rPr>
          <w:rFonts w:hint="eastAsia" w:ascii="Times New Roman" w:hAnsi="Times New Roman" w:eastAsia="仿宋_GB2312" w:cs="仿宋_GB2312"/>
          <w:caps w:val="0"/>
          <w:kern w:val="21"/>
          <w:sz w:val="32"/>
          <w:szCs w:val="32"/>
        </w:rPr>
        <w:t>加速形成，</w:t>
      </w:r>
      <w:r>
        <w:rPr>
          <w:rFonts w:hint="eastAsia" w:ascii="Times New Roman" w:hAnsi="Times New Roman" w:cs="仿宋_GB2312"/>
          <w:caps w:val="0"/>
          <w:kern w:val="21"/>
          <w:sz w:val="32"/>
          <w:szCs w:val="32"/>
          <w:lang w:eastAsia="zh-CN"/>
        </w:rPr>
        <w:t>推动</w:t>
      </w:r>
      <w:r>
        <w:rPr>
          <w:rFonts w:hint="eastAsia" w:ascii="Times New Roman" w:hAnsi="Times New Roman" w:eastAsia="仿宋_GB2312" w:cs="仿宋_GB2312"/>
          <w:caps w:val="0"/>
          <w:kern w:val="21"/>
          <w:sz w:val="32"/>
          <w:szCs w:val="32"/>
        </w:rPr>
        <w:t>各项工作顺利</w:t>
      </w:r>
      <w:r>
        <w:rPr>
          <w:rFonts w:hint="eastAsia" w:ascii="Times New Roman" w:hAnsi="Times New Roman" w:cs="仿宋_GB2312"/>
          <w:caps w:val="0"/>
          <w:kern w:val="21"/>
          <w:sz w:val="32"/>
          <w:szCs w:val="32"/>
          <w:lang w:eastAsia="zh-CN"/>
        </w:rPr>
        <w:t>开展</w:t>
      </w:r>
      <w:r>
        <w:rPr>
          <w:rFonts w:hint="eastAsia" w:ascii="Times New Roman" w:hAnsi="Times New Roman" w:eastAsia="仿宋_GB2312" w:cs="仿宋_GB2312"/>
          <w:caps w:val="0"/>
          <w:kern w:val="21"/>
          <w:sz w:val="32"/>
          <w:szCs w:val="32"/>
        </w:rPr>
        <w:t>。</w:t>
      </w:r>
    </w:p>
    <w:p>
      <w:pPr>
        <w:pStyle w:val="4"/>
        <w:keepNext/>
        <w:keepLines/>
        <w:widowControl w:val="0"/>
        <w:wordWrap/>
        <w:adjustRightInd/>
        <w:snapToGrid/>
        <w:spacing w:beforeLines="50" w:afterLines="50" w:line="240" w:lineRule="auto"/>
        <w:ind w:firstLine="632" w:firstLineChars="200"/>
        <w:jc w:val="both"/>
        <w:textAlignment w:val="auto"/>
        <w:rPr>
          <w:rFonts w:hint="eastAsia" w:ascii="Times New Roman" w:hAnsi="Times New Roman" w:eastAsia="楷体_GB2312" w:cs="楷体_GB2312"/>
          <w:b w:val="0"/>
          <w:bCs w:val="0"/>
          <w:caps w:val="0"/>
          <w:sz w:val="32"/>
          <w:szCs w:val="32"/>
        </w:rPr>
      </w:pPr>
      <w:bookmarkStart w:id="26" w:name="_Toc88053804"/>
      <w:r>
        <w:rPr>
          <w:rFonts w:hint="eastAsia" w:ascii="Times New Roman" w:hAnsi="Times New Roman" w:eastAsia="楷体_GB2312" w:cs="楷体_GB2312"/>
          <w:b w:val="0"/>
          <w:bCs w:val="0"/>
          <w:caps w:val="0"/>
          <w:sz w:val="32"/>
          <w:szCs w:val="32"/>
        </w:rPr>
        <w:t>3.2新挑战</w:t>
      </w:r>
      <w:bookmarkEnd w:id="26"/>
    </w:p>
    <w:p>
      <w:pPr>
        <w:widowControl w:val="0"/>
        <w:wordWrap/>
        <w:adjustRightInd/>
        <w:snapToGrid/>
        <w:spacing w:line="240" w:lineRule="auto"/>
        <w:ind w:firstLine="632" w:firstLineChars="200"/>
        <w:jc w:val="both"/>
        <w:textAlignment w:val="auto"/>
        <w:rPr>
          <w:rFonts w:ascii="Times New Roman" w:hAnsi="Times New Roman"/>
          <w:caps w:val="0"/>
          <w:kern w:val="21"/>
          <w:sz w:val="32"/>
          <w:szCs w:val="32"/>
        </w:rPr>
      </w:pPr>
      <w:r>
        <w:rPr>
          <w:rFonts w:ascii="Times New Roman" w:hAnsi="Times New Roman"/>
          <w:b/>
          <w:caps w:val="0"/>
          <w:kern w:val="21"/>
          <w:sz w:val="32"/>
          <w:szCs w:val="32"/>
        </w:rPr>
        <w:t>资源、能源、环境约束依然严峻。</w:t>
      </w:r>
      <w:r>
        <w:rPr>
          <w:rFonts w:ascii="Times New Roman" w:hAnsi="Times New Roman"/>
          <w:caps w:val="0"/>
          <w:kern w:val="21"/>
          <w:sz w:val="32"/>
          <w:szCs w:val="32"/>
        </w:rPr>
        <w:t>根据花都区第七次全国人口普查公报，全区常住人口超过164万人，预计未来将保持持续增长。花都区是未来广州经济和人口的重要承载区，能源消费总量仍保持在高位。城市开发土地供给逼近上限</w:t>
      </w:r>
      <w:r>
        <w:rPr>
          <w:rFonts w:hint="eastAsia"/>
          <w:caps w:val="0"/>
          <w:kern w:val="21"/>
          <w:sz w:val="32"/>
          <w:szCs w:val="32"/>
          <w:lang w:eastAsia="zh-CN"/>
        </w:rPr>
        <w:t>，</w:t>
      </w:r>
      <w:r>
        <w:rPr>
          <w:rFonts w:ascii="Times New Roman" w:hAnsi="Times New Roman"/>
          <w:caps w:val="0"/>
          <w:kern w:val="21"/>
          <w:sz w:val="32"/>
          <w:szCs w:val="32"/>
        </w:rPr>
        <w:t>机动车保有量持续增长，大气污染排放压力依然较大，流溪河及河涌水体的水环境承载超负荷</w:t>
      </w:r>
      <w:r>
        <w:rPr>
          <w:rFonts w:hint="eastAsia"/>
          <w:caps w:val="0"/>
          <w:kern w:val="21"/>
          <w:sz w:val="32"/>
          <w:szCs w:val="32"/>
          <w:lang w:eastAsia="zh-CN"/>
        </w:rPr>
        <w:t>问题</w:t>
      </w:r>
      <w:r>
        <w:rPr>
          <w:rFonts w:ascii="Times New Roman" w:hAnsi="Times New Roman"/>
          <w:caps w:val="0"/>
          <w:kern w:val="21"/>
          <w:sz w:val="32"/>
          <w:szCs w:val="32"/>
        </w:rPr>
        <w:t>仍难以解决。</w:t>
      </w:r>
    </w:p>
    <w:p>
      <w:pPr>
        <w:widowControl w:val="0"/>
        <w:wordWrap/>
        <w:adjustRightInd/>
        <w:snapToGrid/>
        <w:spacing w:line="240" w:lineRule="auto"/>
        <w:ind w:firstLine="632" w:firstLineChars="200"/>
        <w:jc w:val="both"/>
        <w:textAlignment w:val="auto"/>
        <w:rPr>
          <w:rFonts w:ascii="Times New Roman" w:hAnsi="Times New Roman"/>
          <w:caps w:val="0"/>
          <w:kern w:val="21"/>
          <w:sz w:val="32"/>
          <w:szCs w:val="32"/>
        </w:rPr>
      </w:pPr>
      <w:r>
        <w:rPr>
          <w:rFonts w:ascii="Times New Roman" w:hAnsi="Times New Roman"/>
          <w:b/>
          <w:caps w:val="0"/>
          <w:kern w:val="21"/>
          <w:sz w:val="32"/>
          <w:szCs w:val="32"/>
        </w:rPr>
        <w:t>区域发展战略</w:t>
      </w:r>
      <w:r>
        <w:rPr>
          <w:rFonts w:hint="eastAsia"/>
          <w:b/>
          <w:caps w:val="0"/>
          <w:kern w:val="21"/>
          <w:sz w:val="32"/>
          <w:szCs w:val="32"/>
          <w:lang w:eastAsia="zh-CN"/>
        </w:rPr>
        <w:t>为</w:t>
      </w:r>
      <w:r>
        <w:rPr>
          <w:rFonts w:ascii="Times New Roman" w:hAnsi="Times New Roman"/>
          <w:b/>
          <w:caps w:val="0"/>
          <w:kern w:val="21"/>
          <w:sz w:val="32"/>
          <w:szCs w:val="32"/>
        </w:rPr>
        <w:t>生态环境保护工作带来挑战。</w:t>
      </w:r>
      <w:r>
        <w:rPr>
          <w:rFonts w:ascii="Times New Roman" w:hAnsi="Times New Roman"/>
          <w:caps w:val="0"/>
          <w:kern w:val="21"/>
          <w:sz w:val="32"/>
          <w:szCs w:val="32"/>
        </w:rPr>
        <w:t>规划期内要努力把花都打造成为广州国家中心城市的航空都会区，交通体系</w:t>
      </w:r>
      <w:r>
        <w:rPr>
          <w:rFonts w:hint="eastAsia"/>
          <w:caps w:val="0"/>
          <w:kern w:val="21"/>
          <w:sz w:val="32"/>
          <w:szCs w:val="32"/>
          <w:lang w:eastAsia="zh-CN"/>
        </w:rPr>
        <w:t>建设中</w:t>
      </w:r>
      <w:r>
        <w:rPr>
          <w:rFonts w:ascii="Times New Roman" w:hAnsi="Times New Roman"/>
          <w:caps w:val="0"/>
          <w:kern w:val="21"/>
          <w:sz w:val="32"/>
          <w:szCs w:val="32"/>
        </w:rPr>
        <w:t>造成的大气污染、噪声污染问题</w:t>
      </w:r>
      <w:r>
        <w:rPr>
          <w:rFonts w:hint="eastAsia"/>
          <w:caps w:val="0"/>
          <w:kern w:val="21"/>
          <w:sz w:val="32"/>
          <w:szCs w:val="32"/>
          <w:lang w:eastAsia="zh-CN"/>
        </w:rPr>
        <w:t>为</w:t>
      </w:r>
      <w:r>
        <w:rPr>
          <w:rFonts w:ascii="Times New Roman" w:hAnsi="Times New Roman"/>
          <w:caps w:val="0"/>
          <w:kern w:val="21"/>
          <w:sz w:val="32"/>
          <w:szCs w:val="32"/>
        </w:rPr>
        <w:t>生态环境保护工作带来更加严峻的挑战。同时为打造广州北部经济增长极，城市建设用地面积将持续扩大，</w:t>
      </w:r>
      <w:r>
        <w:rPr>
          <w:rFonts w:hint="eastAsia"/>
          <w:caps w:val="0"/>
          <w:kern w:val="21"/>
          <w:sz w:val="32"/>
          <w:szCs w:val="32"/>
          <w:lang w:eastAsia="zh-CN"/>
        </w:rPr>
        <w:t>将</w:t>
      </w:r>
      <w:r>
        <w:rPr>
          <w:rFonts w:ascii="Times New Roman" w:hAnsi="Times New Roman"/>
          <w:caps w:val="0"/>
          <w:kern w:val="21"/>
          <w:sz w:val="32"/>
          <w:szCs w:val="32"/>
        </w:rPr>
        <w:t>对维护生态空间造成压力。</w:t>
      </w:r>
    </w:p>
    <w:p>
      <w:pPr>
        <w:pStyle w:val="4"/>
        <w:keepNext/>
        <w:keepLines/>
        <w:widowControl w:val="0"/>
        <w:wordWrap/>
        <w:adjustRightInd/>
        <w:snapToGrid/>
        <w:spacing w:beforeLines="50" w:afterLines="50" w:line="240" w:lineRule="auto"/>
        <w:ind w:firstLine="632" w:firstLineChars="200"/>
        <w:jc w:val="both"/>
        <w:textAlignment w:val="auto"/>
        <w:rPr>
          <w:rFonts w:hint="eastAsia" w:ascii="Times New Roman" w:hAnsi="Times New Roman" w:eastAsia="楷体_GB2312" w:cs="楷体_GB2312"/>
          <w:b w:val="0"/>
          <w:bCs w:val="0"/>
          <w:caps w:val="0"/>
          <w:sz w:val="32"/>
          <w:szCs w:val="32"/>
        </w:rPr>
      </w:pPr>
      <w:bookmarkStart w:id="27" w:name="_Hlk74313761"/>
      <w:bookmarkStart w:id="28" w:name="_Toc88053805"/>
      <w:r>
        <w:rPr>
          <w:rFonts w:hint="eastAsia" w:ascii="Times New Roman" w:hAnsi="Times New Roman" w:eastAsia="楷体_GB2312" w:cs="楷体_GB2312"/>
          <w:b w:val="0"/>
          <w:bCs w:val="0"/>
          <w:caps w:val="0"/>
          <w:sz w:val="32"/>
          <w:szCs w:val="32"/>
        </w:rPr>
        <w:t>3.3 环境质量现状</w:t>
      </w:r>
      <w:bookmarkEnd w:id="27"/>
      <w:bookmarkEnd w:id="28"/>
    </w:p>
    <w:p>
      <w:pPr>
        <w:pStyle w:val="8"/>
        <w:keepNext w:val="0"/>
        <w:keepLines w:val="0"/>
        <w:pageBreakBefore w:val="0"/>
        <w:widowControl w:val="0"/>
        <w:kinsoku/>
        <w:wordWrap/>
        <w:overflowPunct/>
        <w:topLinePunct w:val="0"/>
        <w:autoSpaceDE/>
        <w:autoSpaceDN/>
        <w:bidi w:val="0"/>
        <w:adjustRightInd/>
        <w:snapToGrid/>
        <w:spacing w:line="600" w:lineRule="exact"/>
        <w:ind w:firstLine="632" w:firstLineChars="200"/>
        <w:jc w:val="both"/>
        <w:textAlignment w:val="auto"/>
        <w:rPr>
          <w:rFonts w:ascii="Times New Roman" w:hAnsi="Times New Roman" w:eastAsia="仿宋_GB2312"/>
          <w:b/>
          <w:caps w:val="0"/>
          <w:kern w:val="21"/>
          <w:sz w:val="32"/>
          <w:szCs w:val="32"/>
        </w:rPr>
      </w:pPr>
      <w:r>
        <w:rPr>
          <w:rFonts w:ascii="Times New Roman" w:hAnsi="Times New Roman" w:eastAsia="仿宋_GB2312"/>
          <w:b/>
          <w:caps w:val="0"/>
          <w:kern w:val="21"/>
          <w:sz w:val="32"/>
          <w:szCs w:val="32"/>
        </w:rPr>
        <w:t>3.3.1水环境质量现状</w:t>
      </w:r>
    </w:p>
    <w:p>
      <w:pPr>
        <w:keepNext w:val="0"/>
        <w:keepLines w:val="0"/>
        <w:pageBreakBefore w:val="0"/>
        <w:widowControl w:val="0"/>
        <w:kinsoku/>
        <w:wordWrap/>
        <w:overflowPunct/>
        <w:topLinePunct w:val="0"/>
        <w:autoSpaceDE/>
        <w:autoSpaceDN/>
        <w:bidi w:val="0"/>
        <w:adjustRightInd/>
        <w:snapToGrid/>
        <w:spacing w:line="600" w:lineRule="exact"/>
        <w:ind w:firstLine="632" w:firstLineChars="200"/>
        <w:jc w:val="both"/>
        <w:textAlignment w:val="auto"/>
        <w:rPr>
          <w:rFonts w:ascii="Times New Roman" w:hAnsi="Times New Roman"/>
          <w:caps w:val="0"/>
          <w:kern w:val="21"/>
          <w:sz w:val="32"/>
          <w:szCs w:val="32"/>
        </w:rPr>
      </w:pPr>
      <w:r>
        <w:rPr>
          <w:rFonts w:ascii="Times New Roman" w:hAnsi="Times New Roman"/>
          <w:caps w:val="0"/>
          <w:kern w:val="21"/>
          <w:sz w:val="32"/>
          <w:szCs w:val="32"/>
        </w:rPr>
        <w:t>2020年</w:t>
      </w:r>
      <w:r>
        <w:rPr>
          <w:rFonts w:hint="eastAsia"/>
          <w:caps w:val="0"/>
          <w:kern w:val="21"/>
          <w:sz w:val="32"/>
          <w:szCs w:val="32"/>
          <w:lang w:eastAsia="zh-CN"/>
        </w:rPr>
        <w:t>，</w:t>
      </w:r>
      <w:r>
        <w:rPr>
          <w:rFonts w:ascii="Times New Roman" w:hAnsi="Times New Roman"/>
          <w:caps w:val="0"/>
          <w:kern w:val="21"/>
          <w:sz w:val="32"/>
          <w:szCs w:val="32"/>
        </w:rPr>
        <w:t>花都区李溪坝和大坳断面水质分别达到Ⅲ类和Ⅳ类标准，均达到省考核目标。城市集中式饮用水水源和5个乡镇饮用水水质100%达标。11个地表水</w:t>
      </w:r>
      <w:r>
        <w:rPr>
          <w:rFonts w:hint="eastAsia" w:ascii="Times New Roman" w:hAnsi="Times New Roman"/>
          <w:caps w:val="0"/>
          <w:kern w:val="21"/>
          <w:sz w:val="32"/>
          <w:szCs w:val="32"/>
        </w:rPr>
        <w:t>环境</w:t>
      </w:r>
      <w:r>
        <w:rPr>
          <w:rFonts w:ascii="Times New Roman" w:hAnsi="Times New Roman"/>
          <w:caps w:val="0"/>
          <w:kern w:val="21"/>
          <w:sz w:val="32"/>
          <w:szCs w:val="32"/>
        </w:rPr>
        <w:t>功能区监测断面中，</w:t>
      </w:r>
      <w:r>
        <w:rPr>
          <w:rFonts w:hint="eastAsia" w:ascii="Times New Roman" w:hAnsi="Times New Roman"/>
          <w:caps w:val="0"/>
          <w:kern w:val="21"/>
          <w:sz w:val="32"/>
          <w:szCs w:val="32"/>
        </w:rPr>
        <w:t>8个断面水质达到</w:t>
      </w:r>
      <w:r>
        <w:rPr>
          <w:rFonts w:ascii="Times New Roman" w:hAnsi="Times New Roman"/>
          <w:caps w:val="0"/>
          <w:kern w:val="21"/>
          <w:sz w:val="32"/>
          <w:szCs w:val="32"/>
        </w:rPr>
        <w:t>Ⅲ类</w:t>
      </w:r>
      <w:r>
        <w:rPr>
          <w:rFonts w:hint="eastAsia" w:ascii="Times New Roman" w:hAnsi="Times New Roman"/>
          <w:caps w:val="0"/>
          <w:kern w:val="21"/>
          <w:sz w:val="32"/>
          <w:szCs w:val="32"/>
        </w:rPr>
        <w:t>及</w:t>
      </w:r>
      <w:r>
        <w:rPr>
          <w:rFonts w:ascii="Times New Roman" w:hAnsi="Times New Roman"/>
          <w:caps w:val="0"/>
          <w:kern w:val="21"/>
          <w:sz w:val="32"/>
          <w:szCs w:val="32"/>
        </w:rPr>
        <w:t>以上</w:t>
      </w:r>
      <w:r>
        <w:rPr>
          <w:rFonts w:hint="eastAsia" w:ascii="Times New Roman" w:hAnsi="Times New Roman"/>
          <w:caps w:val="0"/>
          <w:kern w:val="21"/>
          <w:sz w:val="32"/>
          <w:szCs w:val="32"/>
        </w:rPr>
        <w:t>，</w:t>
      </w:r>
      <w:r>
        <w:rPr>
          <w:rFonts w:ascii="Times New Roman" w:hAnsi="Times New Roman"/>
          <w:caps w:val="0"/>
          <w:kern w:val="21"/>
          <w:sz w:val="32"/>
          <w:szCs w:val="32"/>
        </w:rPr>
        <w:t>占72.73%</w:t>
      </w:r>
      <w:r>
        <w:rPr>
          <w:rFonts w:hint="eastAsia" w:ascii="Times New Roman" w:hAnsi="Times New Roman"/>
          <w:caps w:val="0"/>
          <w:kern w:val="21"/>
          <w:sz w:val="32"/>
          <w:szCs w:val="32"/>
        </w:rPr>
        <w:t>；1个断面水质达到Ⅳ类，</w:t>
      </w:r>
      <w:r>
        <w:rPr>
          <w:rFonts w:ascii="Times New Roman" w:hAnsi="Times New Roman"/>
          <w:caps w:val="0"/>
          <w:kern w:val="21"/>
          <w:sz w:val="32"/>
          <w:szCs w:val="32"/>
        </w:rPr>
        <w:t>占9.09%</w:t>
      </w:r>
      <w:r>
        <w:rPr>
          <w:rFonts w:hint="eastAsia" w:ascii="Times New Roman" w:hAnsi="Times New Roman"/>
          <w:caps w:val="0"/>
          <w:kern w:val="21"/>
          <w:sz w:val="32"/>
          <w:szCs w:val="32"/>
        </w:rPr>
        <w:t>；2个断面水质达到Ⅴ类，</w:t>
      </w:r>
      <w:r>
        <w:rPr>
          <w:rFonts w:ascii="Times New Roman" w:hAnsi="Times New Roman"/>
          <w:caps w:val="0"/>
          <w:kern w:val="21"/>
          <w:sz w:val="32"/>
          <w:szCs w:val="32"/>
        </w:rPr>
        <w:t>占18.18%。跨市河流国泰河、九曲河、下巴排洪河、望岗涌、鲤鱼涌和五和涌交接断面水质类别均为劣Ⅴ类，水质状况为重度污染。</w:t>
      </w:r>
    </w:p>
    <w:p>
      <w:pPr>
        <w:pStyle w:val="8"/>
        <w:keepNext w:val="0"/>
        <w:keepLines w:val="0"/>
        <w:pageBreakBefore w:val="0"/>
        <w:widowControl w:val="0"/>
        <w:kinsoku/>
        <w:wordWrap/>
        <w:overflowPunct/>
        <w:topLinePunct w:val="0"/>
        <w:autoSpaceDE/>
        <w:autoSpaceDN/>
        <w:bidi w:val="0"/>
        <w:adjustRightInd/>
        <w:snapToGrid/>
        <w:spacing w:line="590" w:lineRule="exact"/>
        <w:ind w:firstLine="632" w:firstLineChars="200"/>
        <w:jc w:val="both"/>
        <w:textAlignment w:val="auto"/>
        <w:rPr>
          <w:rFonts w:ascii="Times New Roman" w:hAnsi="Times New Roman" w:eastAsia="宋体"/>
          <w:b/>
          <w:caps w:val="0"/>
          <w:kern w:val="21"/>
          <w:sz w:val="32"/>
          <w:szCs w:val="32"/>
        </w:rPr>
      </w:pPr>
      <w:r>
        <w:rPr>
          <w:rFonts w:ascii="Times New Roman" w:hAnsi="Times New Roman" w:eastAsia="宋体"/>
          <w:b/>
          <w:caps w:val="0"/>
          <w:kern w:val="21"/>
          <w:sz w:val="32"/>
          <w:szCs w:val="32"/>
        </w:rPr>
        <w:t>3.3.2</w:t>
      </w:r>
      <w:r>
        <w:rPr>
          <w:rFonts w:hint="eastAsia" w:ascii="Times New Roman" w:hAnsi="Times New Roman" w:eastAsia="仿宋_GB2312" w:cs="仿宋_GB2312"/>
          <w:b/>
          <w:caps w:val="0"/>
          <w:kern w:val="21"/>
          <w:sz w:val="32"/>
          <w:szCs w:val="32"/>
        </w:rPr>
        <w:t>大气环境质量现状</w:t>
      </w:r>
    </w:p>
    <w:p>
      <w:pPr>
        <w:keepNext w:val="0"/>
        <w:keepLines w:val="0"/>
        <w:pageBreakBefore w:val="0"/>
        <w:widowControl w:val="0"/>
        <w:kinsoku/>
        <w:wordWrap/>
        <w:overflowPunct/>
        <w:topLinePunct w:val="0"/>
        <w:autoSpaceDE/>
        <w:autoSpaceDN/>
        <w:bidi w:val="0"/>
        <w:adjustRightInd/>
        <w:snapToGrid/>
        <w:spacing w:line="590" w:lineRule="exact"/>
        <w:ind w:firstLine="632" w:firstLineChars="200"/>
        <w:jc w:val="both"/>
        <w:textAlignment w:val="auto"/>
        <w:rPr>
          <w:rFonts w:ascii="Times New Roman" w:hAnsi="Times New Roman"/>
          <w:caps w:val="0"/>
          <w:kern w:val="21"/>
          <w:sz w:val="32"/>
          <w:szCs w:val="32"/>
        </w:rPr>
      </w:pPr>
      <w:r>
        <w:rPr>
          <w:rFonts w:ascii="Times New Roman" w:hAnsi="Times New Roman"/>
          <w:caps w:val="0"/>
          <w:kern w:val="21"/>
          <w:sz w:val="32"/>
          <w:szCs w:val="32"/>
        </w:rPr>
        <w:t>2013</w:t>
      </w:r>
      <w:r>
        <w:rPr>
          <w:rFonts w:hint="eastAsia"/>
          <w:caps w:val="0"/>
          <w:kern w:val="21"/>
          <w:sz w:val="32"/>
          <w:szCs w:val="32"/>
          <w:lang w:eastAsia="zh-CN"/>
        </w:rPr>
        <w:t>—</w:t>
      </w:r>
      <w:r>
        <w:rPr>
          <w:rFonts w:ascii="Times New Roman" w:hAnsi="Times New Roman"/>
          <w:caps w:val="0"/>
          <w:kern w:val="21"/>
          <w:sz w:val="32"/>
          <w:szCs w:val="32"/>
        </w:rPr>
        <w:t>2020年，花都区大气环境质量逐年向好，主要大气污染物浓度总体呈下降趋势。2020年，</w:t>
      </w:r>
      <w:r>
        <w:rPr>
          <w:rFonts w:hint="eastAsia"/>
          <w:caps w:val="0"/>
          <w:kern w:val="21"/>
          <w:sz w:val="32"/>
          <w:szCs w:val="32"/>
          <w:lang w:val="en-US" w:eastAsia="zh-CN"/>
        </w:rPr>
        <w:t>6</w:t>
      </w:r>
      <w:r>
        <w:rPr>
          <w:rFonts w:ascii="Times New Roman" w:hAnsi="Times New Roman"/>
          <w:caps w:val="0"/>
          <w:kern w:val="21"/>
          <w:sz w:val="32"/>
          <w:szCs w:val="32"/>
        </w:rPr>
        <w:t>项主要污染物浓度指标全面达标：PM</w:t>
      </w:r>
      <w:r>
        <w:rPr>
          <w:rFonts w:ascii="Times New Roman" w:hAnsi="Times New Roman"/>
          <w:caps w:val="0"/>
          <w:kern w:val="21"/>
          <w:sz w:val="32"/>
          <w:szCs w:val="32"/>
          <w:vertAlign w:val="subscript"/>
        </w:rPr>
        <w:t>2.5</w:t>
      </w:r>
      <w:r>
        <w:rPr>
          <w:rFonts w:ascii="Times New Roman" w:hAnsi="Times New Roman"/>
          <w:caps w:val="0"/>
          <w:kern w:val="21"/>
          <w:sz w:val="32"/>
          <w:szCs w:val="32"/>
        </w:rPr>
        <w:t>年均浓度为23</w:t>
      </w:r>
      <w:r>
        <w:rPr>
          <w:rFonts w:hint="eastAsia" w:ascii="Times New Roman" w:hAnsi="Times New Roman" w:eastAsia="仿宋_GB2312" w:cs="仿宋_GB2312"/>
          <w:caps w:val="0"/>
          <w:kern w:val="21"/>
          <w:sz w:val="32"/>
          <w:szCs w:val="32"/>
        </w:rPr>
        <w:t>微克/立方米，占标率</w:t>
      </w:r>
      <w:r>
        <w:rPr>
          <w:rFonts w:ascii="Times New Roman" w:hAnsi="Times New Roman"/>
          <w:caps w:val="0"/>
          <w:kern w:val="21"/>
          <w:sz w:val="32"/>
          <w:szCs w:val="32"/>
        </w:rPr>
        <w:t>65.7%，达到《广州市花都区环境保护规划（2013</w:t>
      </w:r>
      <w:r>
        <w:rPr>
          <w:rFonts w:hint="eastAsia"/>
          <w:caps w:val="0"/>
          <w:kern w:val="21"/>
          <w:sz w:val="32"/>
          <w:szCs w:val="32"/>
          <w:lang w:eastAsia="zh-CN"/>
        </w:rPr>
        <w:t>—</w:t>
      </w:r>
      <w:r>
        <w:rPr>
          <w:rFonts w:ascii="Times New Roman" w:hAnsi="Times New Roman"/>
          <w:caps w:val="0"/>
          <w:kern w:val="21"/>
          <w:sz w:val="32"/>
          <w:szCs w:val="32"/>
        </w:rPr>
        <w:t>2020年）》目标，比2015年首次完整监测下降45.2%；PM</w:t>
      </w:r>
      <w:r>
        <w:rPr>
          <w:rFonts w:ascii="Times New Roman" w:hAnsi="Times New Roman"/>
          <w:caps w:val="0"/>
          <w:kern w:val="21"/>
          <w:sz w:val="32"/>
          <w:szCs w:val="32"/>
          <w:vertAlign w:val="subscript"/>
        </w:rPr>
        <w:t>10</w:t>
      </w:r>
      <w:r>
        <w:rPr>
          <w:rFonts w:ascii="Times New Roman" w:hAnsi="Times New Roman"/>
          <w:caps w:val="0"/>
          <w:kern w:val="21"/>
          <w:sz w:val="32"/>
          <w:szCs w:val="32"/>
        </w:rPr>
        <w:t>年均浓度为40</w:t>
      </w:r>
      <w:r>
        <w:rPr>
          <w:rFonts w:hint="eastAsia" w:ascii="Times New Roman" w:hAnsi="Times New Roman" w:eastAsia="仿宋_GB2312" w:cs="仿宋_GB2312"/>
          <w:caps w:val="0"/>
          <w:kern w:val="21"/>
          <w:sz w:val="32"/>
          <w:szCs w:val="32"/>
        </w:rPr>
        <w:t>微克/立方米，占标率为</w:t>
      </w:r>
      <w:r>
        <w:rPr>
          <w:rFonts w:ascii="Times New Roman" w:hAnsi="Times New Roman"/>
          <w:caps w:val="0"/>
          <w:kern w:val="21"/>
          <w:sz w:val="32"/>
          <w:szCs w:val="32"/>
        </w:rPr>
        <w:t>57.1%，比2013年下降28.6%；NO</w:t>
      </w:r>
      <w:r>
        <w:rPr>
          <w:rFonts w:ascii="Times New Roman" w:hAnsi="Times New Roman"/>
          <w:caps w:val="0"/>
          <w:kern w:val="21"/>
          <w:sz w:val="32"/>
          <w:szCs w:val="32"/>
          <w:vertAlign w:val="subscript"/>
        </w:rPr>
        <w:t>2</w:t>
      </w:r>
      <w:r>
        <w:rPr>
          <w:rFonts w:ascii="Times New Roman" w:hAnsi="Times New Roman"/>
          <w:caps w:val="0"/>
          <w:kern w:val="21"/>
          <w:sz w:val="32"/>
          <w:szCs w:val="32"/>
        </w:rPr>
        <w:t>年均浓度为28</w:t>
      </w:r>
      <w:r>
        <w:rPr>
          <w:rFonts w:hint="eastAsia" w:ascii="Times New Roman" w:hAnsi="Times New Roman" w:eastAsia="仿宋_GB2312" w:cs="仿宋_GB2312"/>
          <w:caps w:val="0"/>
          <w:kern w:val="21"/>
          <w:sz w:val="32"/>
          <w:szCs w:val="32"/>
        </w:rPr>
        <w:t>微克/立方米，占标率为</w:t>
      </w:r>
      <w:r>
        <w:rPr>
          <w:rFonts w:ascii="Times New Roman" w:hAnsi="Times New Roman"/>
          <w:caps w:val="0"/>
          <w:kern w:val="21"/>
          <w:sz w:val="32"/>
          <w:szCs w:val="32"/>
        </w:rPr>
        <w:t>70.0%，比2013年下降34.9%；SO</w:t>
      </w:r>
      <w:r>
        <w:rPr>
          <w:rFonts w:ascii="Times New Roman" w:hAnsi="Times New Roman"/>
          <w:caps w:val="0"/>
          <w:kern w:val="21"/>
          <w:sz w:val="32"/>
          <w:szCs w:val="32"/>
          <w:vertAlign w:val="subscript"/>
        </w:rPr>
        <w:t>2</w:t>
      </w:r>
      <w:r>
        <w:rPr>
          <w:rFonts w:ascii="Times New Roman" w:hAnsi="Times New Roman"/>
          <w:caps w:val="0"/>
          <w:kern w:val="21"/>
          <w:sz w:val="32"/>
          <w:szCs w:val="32"/>
        </w:rPr>
        <w:t>年均浓度为8</w:t>
      </w:r>
      <w:r>
        <w:rPr>
          <w:rFonts w:hint="eastAsia" w:ascii="Times New Roman" w:hAnsi="Times New Roman" w:eastAsia="仿宋_GB2312" w:cs="仿宋_GB2312"/>
          <w:caps w:val="0"/>
          <w:kern w:val="21"/>
          <w:sz w:val="32"/>
          <w:szCs w:val="32"/>
        </w:rPr>
        <w:t>微克/立方米</w:t>
      </w:r>
      <w:r>
        <w:rPr>
          <w:rFonts w:ascii="Times New Roman" w:hAnsi="Times New Roman"/>
          <w:caps w:val="0"/>
          <w:kern w:val="21"/>
          <w:sz w:val="32"/>
          <w:szCs w:val="32"/>
        </w:rPr>
        <w:t>，占标率为13.3%，比2013年下降70.4%；O</w:t>
      </w:r>
      <w:r>
        <w:rPr>
          <w:rFonts w:ascii="Times New Roman" w:hAnsi="Times New Roman"/>
          <w:caps w:val="0"/>
          <w:kern w:val="21"/>
          <w:sz w:val="32"/>
          <w:szCs w:val="32"/>
          <w:vertAlign w:val="subscript"/>
        </w:rPr>
        <w:t>3</w:t>
      </w:r>
      <w:r>
        <w:rPr>
          <w:rFonts w:ascii="Times New Roman" w:hAnsi="Times New Roman"/>
          <w:caps w:val="0"/>
          <w:kern w:val="21"/>
          <w:sz w:val="32"/>
          <w:szCs w:val="32"/>
        </w:rPr>
        <w:t>日最大8小时浓度平均值第90百分位数为156</w:t>
      </w:r>
      <w:r>
        <w:rPr>
          <w:rFonts w:hint="eastAsia" w:ascii="Times New Roman" w:hAnsi="Times New Roman" w:eastAsia="仿宋_GB2312" w:cs="仿宋_GB2312"/>
          <w:caps w:val="0"/>
          <w:kern w:val="21"/>
          <w:sz w:val="32"/>
          <w:szCs w:val="32"/>
        </w:rPr>
        <w:t>微克/立方米</w:t>
      </w:r>
      <w:r>
        <w:rPr>
          <w:rFonts w:ascii="Times New Roman" w:hAnsi="Times New Roman"/>
          <w:caps w:val="0"/>
          <w:kern w:val="21"/>
          <w:sz w:val="32"/>
          <w:szCs w:val="32"/>
        </w:rPr>
        <w:t>，占标率97.5%，比首次完整监测的2016年下降3.7%；CO日平均值第95百分位数为1.0毫克/立方米，占标率25.0%，比2016年首次完整监测下降16.7%。2020年花都区空气质量优良天数比例为91.3%，达到《广州市花都区环境保护规划（2013</w:t>
      </w:r>
      <w:r>
        <w:rPr>
          <w:rFonts w:hint="eastAsia"/>
          <w:caps w:val="0"/>
          <w:kern w:val="21"/>
          <w:sz w:val="32"/>
          <w:szCs w:val="32"/>
          <w:lang w:eastAsia="zh-CN"/>
        </w:rPr>
        <w:t>—</w:t>
      </w:r>
      <w:r>
        <w:rPr>
          <w:rFonts w:ascii="Times New Roman" w:hAnsi="Times New Roman"/>
          <w:caps w:val="0"/>
          <w:kern w:val="21"/>
          <w:sz w:val="32"/>
          <w:szCs w:val="32"/>
        </w:rPr>
        <w:t>2020年）》目标，比2016年首次统计上升4.7个百分点。</w:t>
      </w:r>
    </w:p>
    <w:p>
      <w:pPr>
        <w:widowControl w:val="0"/>
        <w:wordWrap/>
        <w:adjustRightInd/>
        <w:snapToGrid/>
        <w:spacing w:line="240" w:lineRule="auto"/>
        <w:ind w:firstLine="632" w:firstLineChars="200"/>
        <w:jc w:val="both"/>
        <w:textAlignment w:val="auto"/>
        <w:rPr>
          <w:rFonts w:ascii="Times New Roman" w:hAnsi="Times New Roman"/>
          <w:caps w:val="0"/>
          <w:kern w:val="21"/>
          <w:sz w:val="32"/>
          <w:szCs w:val="32"/>
        </w:rPr>
      </w:pPr>
      <w:r>
        <w:rPr>
          <w:rFonts w:ascii="Times New Roman" w:hAnsi="Times New Roman"/>
          <w:caps w:val="0"/>
          <w:kern w:val="21"/>
          <w:sz w:val="32"/>
          <w:szCs w:val="32"/>
        </w:rPr>
        <w:t>总体而言，花都区各项主要大气污染物浓度均达标，但其中臭氧百分位浓度较高，接近浓度限值；且浓度变化趋势有反复，2018年达到近年峰值175</w:t>
      </w:r>
      <w:r>
        <w:rPr>
          <w:rFonts w:hint="eastAsia" w:ascii="Times New Roman" w:hAnsi="Times New Roman" w:eastAsia="仿宋_GB2312" w:cs="仿宋_GB2312"/>
          <w:caps w:val="0"/>
          <w:kern w:val="21"/>
          <w:sz w:val="32"/>
          <w:szCs w:val="32"/>
        </w:rPr>
        <w:t>微克/立方米，同年空气质量优良天数占比达近年谷值</w:t>
      </w:r>
      <w:r>
        <w:rPr>
          <w:rFonts w:ascii="Times New Roman" w:hAnsi="Times New Roman"/>
          <w:caps w:val="0"/>
          <w:kern w:val="21"/>
          <w:sz w:val="32"/>
          <w:szCs w:val="32"/>
        </w:rPr>
        <w:t>81.1%；可见臭氧污染已逐渐成为花都区主要大气环境问题，对空气质量达标产生关键影响。</w:t>
      </w:r>
    </w:p>
    <w:p>
      <w:pPr>
        <w:widowControl w:val="0"/>
        <w:wordWrap/>
        <w:adjustRightInd/>
        <w:snapToGrid/>
        <w:spacing w:line="240" w:lineRule="auto"/>
        <w:ind w:firstLine="632" w:firstLineChars="200"/>
        <w:jc w:val="both"/>
        <w:textAlignment w:val="auto"/>
        <w:rPr>
          <w:rFonts w:hint="eastAsia" w:ascii="Times New Roman" w:hAnsi="Times New Roman" w:eastAsia="仿宋_GB2312" w:cs="仿宋_GB2312"/>
          <w:b/>
          <w:caps w:val="0"/>
          <w:kern w:val="21"/>
          <w:sz w:val="32"/>
          <w:szCs w:val="32"/>
        </w:rPr>
      </w:pPr>
      <w:r>
        <w:rPr>
          <w:rFonts w:hint="default" w:ascii="Times New Roman" w:hAnsi="Times New Roman" w:eastAsia="仿宋_GB2312" w:cs="Times New Roman"/>
          <w:b/>
          <w:caps w:val="0"/>
          <w:kern w:val="21"/>
          <w:sz w:val="32"/>
          <w:szCs w:val="32"/>
        </w:rPr>
        <w:t>3.3.3</w:t>
      </w:r>
      <w:r>
        <w:rPr>
          <w:rFonts w:hint="eastAsia" w:ascii="Times New Roman" w:hAnsi="Times New Roman" w:eastAsia="仿宋_GB2312" w:cs="仿宋_GB2312"/>
          <w:b/>
          <w:caps w:val="0"/>
          <w:kern w:val="21"/>
          <w:sz w:val="32"/>
          <w:szCs w:val="32"/>
        </w:rPr>
        <w:t>声环境质量现状</w:t>
      </w:r>
    </w:p>
    <w:p>
      <w:pPr>
        <w:widowControl w:val="0"/>
        <w:wordWrap/>
        <w:adjustRightInd/>
        <w:snapToGrid/>
        <w:spacing w:line="240" w:lineRule="auto"/>
        <w:ind w:firstLine="632" w:firstLineChars="200"/>
        <w:jc w:val="both"/>
        <w:textAlignment w:val="auto"/>
        <w:rPr>
          <w:rFonts w:ascii="Times New Roman" w:hAnsi="Times New Roman"/>
          <w:caps w:val="0"/>
          <w:kern w:val="21"/>
          <w:sz w:val="32"/>
          <w:szCs w:val="32"/>
        </w:rPr>
      </w:pPr>
      <w:r>
        <w:rPr>
          <w:rFonts w:ascii="Times New Roman" w:hAnsi="Times New Roman"/>
          <w:caps w:val="0"/>
          <w:kern w:val="21"/>
          <w:sz w:val="32"/>
          <w:szCs w:val="32"/>
        </w:rPr>
        <w:t>根据花都区各年度环境质量报告书，2013年</w:t>
      </w:r>
      <w:r>
        <w:rPr>
          <w:rFonts w:hint="eastAsia"/>
          <w:caps w:val="0"/>
          <w:kern w:val="21"/>
          <w:sz w:val="32"/>
          <w:szCs w:val="32"/>
          <w:lang w:eastAsia="zh-CN"/>
        </w:rPr>
        <w:t>—</w:t>
      </w:r>
      <w:r>
        <w:rPr>
          <w:rFonts w:ascii="Times New Roman" w:hAnsi="Times New Roman"/>
          <w:caps w:val="0"/>
          <w:kern w:val="21"/>
          <w:sz w:val="32"/>
          <w:szCs w:val="32"/>
        </w:rPr>
        <w:t>2020年，花都区交通干线道路交通昼间噪声平均值保持在69分贝左右，达到4a类声环境功能区标准限值（70分贝），处于较好水平。区域环境昼间噪声平均值在55.8</w:t>
      </w:r>
      <w:r>
        <w:rPr>
          <w:rFonts w:hint="eastAsia"/>
          <w:caps w:val="0"/>
          <w:kern w:val="21"/>
          <w:sz w:val="32"/>
          <w:szCs w:val="32"/>
          <w:lang w:eastAsia="zh-CN"/>
        </w:rPr>
        <w:t>—</w:t>
      </w:r>
      <w:r>
        <w:rPr>
          <w:rFonts w:ascii="Times New Roman" w:hAnsi="Times New Roman"/>
          <w:caps w:val="0"/>
          <w:kern w:val="21"/>
          <w:sz w:val="32"/>
          <w:szCs w:val="32"/>
        </w:rPr>
        <w:t>57.7分贝之间，达到2类声环境功能区标准限值（60分贝），处于一般水平。</w:t>
      </w:r>
    </w:p>
    <w:p>
      <w:pPr>
        <w:widowControl w:val="0"/>
        <w:wordWrap/>
        <w:adjustRightInd/>
        <w:snapToGrid/>
        <w:spacing w:line="240" w:lineRule="auto"/>
        <w:ind w:firstLine="632" w:firstLineChars="200"/>
        <w:jc w:val="both"/>
        <w:textAlignment w:val="auto"/>
        <w:rPr>
          <w:rFonts w:ascii="Times New Roman" w:hAnsi="Times New Roman"/>
          <w:caps w:val="0"/>
          <w:kern w:val="21"/>
          <w:sz w:val="32"/>
          <w:szCs w:val="32"/>
        </w:rPr>
      </w:pPr>
      <w:r>
        <w:rPr>
          <w:rFonts w:ascii="Times New Roman" w:hAnsi="Times New Roman"/>
          <w:caps w:val="0"/>
          <w:kern w:val="21"/>
          <w:sz w:val="32"/>
          <w:szCs w:val="32"/>
        </w:rPr>
        <w:t>花都区近年区域环境昼间噪声平均值整体呈上升趋势。根据《广州市各区生态环境竞争力评价报告（2019年版）》，区域环境昼间噪声平均值位列全市倒数第2，</w:t>
      </w:r>
      <w:r>
        <w:rPr>
          <w:rFonts w:hint="eastAsia"/>
          <w:caps w:val="0"/>
          <w:kern w:val="21"/>
          <w:sz w:val="32"/>
          <w:szCs w:val="32"/>
          <w:lang w:eastAsia="zh-CN"/>
        </w:rPr>
        <w:t>严重</w:t>
      </w:r>
      <w:r>
        <w:rPr>
          <w:rFonts w:ascii="Times New Roman" w:hAnsi="Times New Roman"/>
          <w:caps w:val="0"/>
          <w:kern w:val="21"/>
          <w:sz w:val="32"/>
          <w:szCs w:val="32"/>
        </w:rPr>
        <w:t>影响花都区环境竞争力。</w:t>
      </w:r>
    </w:p>
    <w:p>
      <w:pPr>
        <w:widowControl w:val="0"/>
        <w:wordWrap/>
        <w:adjustRightInd/>
        <w:snapToGrid/>
        <w:spacing w:line="240" w:lineRule="auto"/>
        <w:ind w:firstLine="632" w:firstLineChars="200"/>
        <w:jc w:val="both"/>
        <w:textAlignment w:val="auto"/>
        <w:rPr>
          <w:rFonts w:hint="eastAsia" w:ascii="Times New Roman" w:hAnsi="Times New Roman" w:eastAsia="仿宋_GB2312" w:cs="仿宋_GB2312"/>
          <w:b/>
          <w:caps w:val="0"/>
          <w:kern w:val="21"/>
          <w:sz w:val="32"/>
          <w:szCs w:val="32"/>
        </w:rPr>
      </w:pPr>
      <w:r>
        <w:rPr>
          <w:rFonts w:hint="default" w:ascii="Times New Roman" w:hAnsi="Times New Roman" w:eastAsia="仿宋_GB2312" w:cs="Times New Roman"/>
          <w:b/>
          <w:caps w:val="0"/>
          <w:kern w:val="21"/>
          <w:sz w:val="32"/>
          <w:szCs w:val="32"/>
        </w:rPr>
        <w:t>3.3.4</w:t>
      </w:r>
      <w:r>
        <w:rPr>
          <w:rFonts w:hint="eastAsia" w:ascii="Times New Roman" w:hAnsi="Times New Roman" w:eastAsia="仿宋_GB2312" w:cs="仿宋_GB2312"/>
          <w:b/>
          <w:caps w:val="0"/>
          <w:kern w:val="21"/>
          <w:sz w:val="32"/>
          <w:szCs w:val="32"/>
        </w:rPr>
        <w:t>生态环境质量现状</w:t>
      </w:r>
    </w:p>
    <w:p>
      <w:pPr>
        <w:widowControl w:val="0"/>
        <w:wordWrap/>
        <w:adjustRightInd/>
        <w:snapToGrid/>
        <w:spacing w:line="240" w:lineRule="auto"/>
        <w:ind w:firstLine="588" w:firstLineChars="200"/>
        <w:jc w:val="both"/>
        <w:textAlignment w:val="auto"/>
        <w:rPr>
          <w:rFonts w:ascii="Times New Roman" w:hAnsi="Times New Roman"/>
          <w:caps w:val="0"/>
          <w:spacing w:val="-11"/>
          <w:kern w:val="21"/>
          <w:sz w:val="32"/>
          <w:szCs w:val="32"/>
        </w:rPr>
      </w:pPr>
      <w:r>
        <w:rPr>
          <w:rFonts w:ascii="Times New Roman" w:hAnsi="Times New Roman"/>
          <w:caps w:val="0"/>
          <w:spacing w:val="-11"/>
          <w:kern w:val="21"/>
          <w:sz w:val="32"/>
          <w:szCs w:val="32"/>
        </w:rPr>
        <w:t>截至2018年底，花都区森林总面积35663.8公顷，森林蓄积量2386554立方米，森林覆盖率38.3%</w:t>
      </w:r>
      <w:r>
        <w:rPr>
          <w:rFonts w:hint="eastAsia"/>
          <w:caps w:val="0"/>
          <w:spacing w:val="-11"/>
          <w:kern w:val="21"/>
          <w:sz w:val="32"/>
          <w:szCs w:val="32"/>
          <w:lang w:eastAsia="zh-CN"/>
        </w:rPr>
        <w:t>，</w:t>
      </w:r>
      <w:r>
        <w:rPr>
          <w:rFonts w:ascii="Times New Roman" w:hAnsi="Times New Roman"/>
          <w:caps w:val="0"/>
          <w:spacing w:val="-11"/>
          <w:kern w:val="21"/>
          <w:sz w:val="32"/>
          <w:szCs w:val="32"/>
        </w:rPr>
        <w:t>生态公益林18094.6公顷</w:t>
      </w:r>
      <w:r>
        <w:rPr>
          <w:rFonts w:hint="eastAsia"/>
          <w:caps w:val="0"/>
          <w:spacing w:val="-11"/>
          <w:kern w:val="21"/>
          <w:sz w:val="32"/>
          <w:szCs w:val="32"/>
          <w:lang w:eastAsia="zh-CN"/>
        </w:rPr>
        <w:t>。</w:t>
      </w:r>
      <w:r>
        <w:rPr>
          <w:rFonts w:ascii="Times New Roman" w:hAnsi="Times New Roman"/>
          <w:caps w:val="0"/>
          <w:spacing w:val="-11"/>
          <w:kern w:val="21"/>
          <w:sz w:val="32"/>
          <w:szCs w:val="32"/>
        </w:rPr>
        <w:t>2018年至今，碳汇造林200公顷、生态景观林带4.5公里。</w:t>
      </w:r>
    </w:p>
    <w:p>
      <w:pPr>
        <w:widowControl w:val="0"/>
        <w:wordWrap/>
        <w:adjustRightInd/>
        <w:snapToGrid/>
        <w:spacing w:line="240" w:lineRule="auto"/>
        <w:ind w:firstLine="632" w:firstLineChars="200"/>
        <w:jc w:val="both"/>
        <w:textAlignment w:val="auto"/>
        <w:rPr>
          <w:rFonts w:ascii="Times New Roman" w:hAnsi="Times New Roman"/>
          <w:caps w:val="0"/>
          <w:kern w:val="21"/>
          <w:sz w:val="32"/>
          <w:szCs w:val="32"/>
        </w:rPr>
      </w:pPr>
      <w:r>
        <w:rPr>
          <w:rFonts w:ascii="Times New Roman" w:hAnsi="Times New Roman"/>
          <w:caps w:val="0"/>
          <w:kern w:val="21"/>
          <w:sz w:val="32"/>
          <w:szCs w:val="32"/>
        </w:rPr>
        <w:t>各类绿地面积达到12706.96公顷，占市域面积的9.72%。建成区绿地率达到36.00%</w:t>
      </w:r>
      <w:r>
        <w:rPr>
          <w:rFonts w:hint="eastAsia"/>
          <w:caps w:val="0"/>
          <w:kern w:val="21"/>
          <w:sz w:val="32"/>
          <w:szCs w:val="32"/>
          <w:lang w:eastAsia="zh-CN"/>
        </w:rPr>
        <w:t>、</w:t>
      </w:r>
      <w:r>
        <w:rPr>
          <w:rFonts w:ascii="Times New Roman" w:hAnsi="Times New Roman"/>
          <w:caps w:val="0"/>
          <w:kern w:val="21"/>
          <w:sz w:val="32"/>
          <w:szCs w:val="32"/>
        </w:rPr>
        <w:t>绿化覆盖率</w:t>
      </w:r>
      <w:r>
        <w:rPr>
          <w:rFonts w:hint="eastAsia"/>
          <w:caps w:val="0"/>
          <w:kern w:val="21"/>
          <w:sz w:val="32"/>
          <w:szCs w:val="32"/>
          <w:lang w:eastAsia="zh-CN"/>
        </w:rPr>
        <w:t>达到</w:t>
      </w:r>
      <w:r>
        <w:rPr>
          <w:rFonts w:ascii="Times New Roman" w:hAnsi="Times New Roman"/>
          <w:caps w:val="0"/>
          <w:kern w:val="21"/>
          <w:sz w:val="32"/>
          <w:szCs w:val="32"/>
        </w:rPr>
        <w:t>48.78%。人均公园和开敞空间面积达到20.71平方米，公园绿地服务半径覆盖率为44.87%。生态保护和建设工作取得一定成效。</w:t>
      </w:r>
    </w:p>
    <w:p>
      <w:pPr>
        <w:widowControl w:val="0"/>
        <w:wordWrap/>
        <w:adjustRightInd/>
        <w:snapToGrid/>
        <w:spacing w:line="240" w:lineRule="auto"/>
        <w:ind w:firstLine="632" w:firstLineChars="200"/>
        <w:jc w:val="both"/>
        <w:textAlignment w:val="auto"/>
        <w:rPr>
          <w:rFonts w:ascii="Times New Roman" w:hAnsi="Times New Roman"/>
          <w:b/>
          <w:caps w:val="0"/>
          <w:kern w:val="21"/>
          <w:sz w:val="32"/>
          <w:szCs w:val="32"/>
        </w:rPr>
      </w:pPr>
      <w:r>
        <w:rPr>
          <w:rFonts w:ascii="Times New Roman" w:hAnsi="Times New Roman"/>
          <w:b/>
          <w:caps w:val="0"/>
          <w:kern w:val="21"/>
          <w:sz w:val="32"/>
          <w:szCs w:val="32"/>
        </w:rPr>
        <w:t>3.3.5固体废物处理处置情况</w:t>
      </w:r>
    </w:p>
    <w:p>
      <w:pPr>
        <w:widowControl w:val="0"/>
        <w:wordWrap/>
        <w:adjustRightInd/>
        <w:snapToGrid/>
        <w:spacing w:line="240" w:lineRule="auto"/>
        <w:ind w:firstLine="632" w:firstLineChars="200"/>
        <w:jc w:val="both"/>
        <w:textAlignment w:val="auto"/>
        <w:rPr>
          <w:rFonts w:ascii="Times New Roman" w:hAnsi="Times New Roman"/>
          <w:caps w:val="0"/>
          <w:kern w:val="21"/>
          <w:sz w:val="32"/>
          <w:szCs w:val="32"/>
        </w:rPr>
      </w:pPr>
      <w:r>
        <w:rPr>
          <w:rFonts w:hint="eastAsia" w:ascii="Times New Roman" w:hAnsi="Times New Roman"/>
          <w:caps w:val="0"/>
          <w:kern w:val="21"/>
          <w:sz w:val="32"/>
          <w:szCs w:val="32"/>
        </w:rPr>
        <w:t>根据广东省固体废物环境监管信息平台，近年来花都区一般工业固体废物和危险废物的产生量均呈上升趋势</w:t>
      </w:r>
      <w:r>
        <w:rPr>
          <w:rFonts w:hint="eastAsia"/>
          <w:caps w:val="0"/>
          <w:kern w:val="21"/>
          <w:sz w:val="32"/>
          <w:szCs w:val="32"/>
          <w:lang w:eastAsia="zh-CN"/>
        </w:rPr>
        <w:t>，</w:t>
      </w:r>
      <w:r>
        <w:rPr>
          <w:rFonts w:hint="eastAsia" w:ascii="Times New Roman" w:hAnsi="Times New Roman"/>
          <w:caps w:val="0"/>
          <w:kern w:val="21"/>
          <w:sz w:val="32"/>
          <w:szCs w:val="32"/>
        </w:rPr>
        <w:t>其中2020年一般工业固体废物产生量达到44.19万吨，综合利用率为99.5%；危险废物产生量达到11.07万吨，利用处置率保持100%。</w:t>
      </w:r>
    </w:p>
    <w:p>
      <w:pPr>
        <w:widowControl w:val="0"/>
        <w:wordWrap/>
        <w:adjustRightInd/>
        <w:snapToGrid/>
        <w:spacing w:line="240" w:lineRule="auto"/>
        <w:ind w:firstLine="632" w:firstLineChars="200"/>
        <w:jc w:val="both"/>
        <w:textAlignment w:val="auto"/>
        <w:rPr>
          <w:rFonts w:ascii="Times New Roman" w:hAnsi="Times New Roman"/>
          <w:caps w:val="0"/>
          <w:kern w:val="21"/>
          <w:sz w:val="32"/>
          <w:szCs w:val="32"/>
        </w:rPr>
      </w:pPr>
      <w:r>
        <w:rPr>
          <w:rFonts w:hint="eastAsia" w:ascii="Times New Roman" w:hAnsi="Times New Roman" w:eastAsia="仿宋_GB2312" w:cs="仿宋_GB2312"/>
          <w:caps w:val="0"/>
          <w:kern w:val="21"/>
          <w:sz w:val="32"/>
          <w:szCs w:val="32"/>
        </w:rPr>
        <w:t>生活垃圾方面，“十三五”时期花都区城镇生活垃圾无害化处理率已达到</w:t>
      </w:r>
      <w:r>
        <w:rPr>
          <w:rFonts w:ascii="Times New Roman" w:hAnsi="Times New Roman"/>
          <w:caps w:val="0"/>
          <w:kern w:val="21"/>
          <w:sz w:val="32"/>
          <w:szCs w:val="32"/>
        </w:rPr>
        <w:t>100%，根据城市建设统计年报，2018年花都区生活垃圾卫生填埋场的生活垃圾处理量为12.17万吨，广州市第五资源热力电厂的生活垃圾处理量为9.57万吨。</w:t>
      </w:r>
    </w:p>
    <w:p>
      <w:pPr>
        <w:pStyle w:val="4"/>
        <w:keepNext/>
        <w:keepLines/>
        <w:widowControl w:val="0"/>
        <w:wordWrap/>
        <w:adjustRightInd/>
        <w:snapToGrid/>
        <w:spacing w:beforeLines="50" w:afterLines="50" w:line="240" w:lineRule="auto"/>
        <w:ind w:firstLine="632" w:firstLineChars="200"/>
        <w:jc w:val="both"/>
        <w:textAlignment w:val="auto"/>
        <w:rPr>
          <w:rFonts w:hint="eastAsia" w:ascii="Times New Roman" w:hAnsi="Times New Roman" w:eastAsia="楷体_GB2312" w:cs="楷体_GB2312"/>
          <w:b w:val="0"/>
          <w:bCs w:val="0"/>
          <w:caps w:val="0"/>
          <w:sz w:val="32"/>
          <w:szCs w:val="32"/>
        </w:rPr>
      </w:pPr>
      <w:bookmarkStart w:id="29" w:name="_Toc88053806"/>
      <w:r>
        <w:rPr>
          <w:rFonts w:hint="eastAsia" w:ascii="Times New Roman" w:hAnsi="Times New Roman" w:eastAsia="楷体_GB2312" w:cs="楷体_GB2312"/>
          <w:b w:val="0"/>
          <w:bCs w:val="0"/>
          <w:caps w:val="0"/>
          <w:sz w:val="32"/>
          <w:szCs w:val="32"/>
        </w:rPr>
        <w:t>3.4 主要环境问题</w:t>
      </w:r>
      <w:bookmarkEnd w:id="29"/>
    </w:p>
    <w:p>
      <w:pPr>
        <w:widowControl w:val="0"/>
        <w:wordWrap/>
        <w:adjustRightInd/>
        <w:snapToGrid/>
        <w:spacing w:line="240" w:lineRule="auto"/>
        <w:ind w:firstLine="632" w:firstLineChars="200"/>
        <w:jc w:val="both"/>
        <w:textAlignment w:val="auto"/>
        <w:rPr>
          <w:rFonts w:ascii="Times New Roman" w:hAnsi="Times New Roman"/>
          <w:b/>
          <w:caps w:val="0"/>
          <w:kern w:val="21"/>
          <w:sz w:val="32"/>
          <w:szCs w:val="32"/>
        </w:rPr>
      </w:pPr>
      <w:r>
        <w:rPr>
          <w:rFonts w:ascii="Times New Roman" w:hAnsi="Times New Roman"/>
          <w:b/>
          <w:caps w:val="0"/>
          <w:kern w:val="21"/>
          <w:sz w:val="32"/>
          <w:szCs w:val="32"/>
        </w:rPr>
        <w:t>3.4.1水环境</w:t>
      </w:r>
    </w:p>
    <w:p>
      <w:pPr>
        <w:widowControl w:val="0"/>
        <w:wordWrap/>
        <w:adjustRightInd/>
        <w:snapToGrid/>
        <w:spacing w:line="240" w:lineRule="auto"/>
        <w:ind w:firstLine="632" w:firstLineChars="200"/>
        <w:jc w:val="both"/>
        <w:textAlignment w:val="auto"/>
        <w:rPr>
          <w:rFonts w:ascii="Times New Roman" w:hAnsi="Times New Roman"/>
          <w:caps w:val="0"/>
          <w:kern w:val="21"/>
          <w:sz w:val="32"/>
          <w:szCs w:val="32"/>
        </w:rPr>
      </w:pPr>
      <w:r>
        <w:rPr>
          <w:rFonts w:ascii="Times New Roman" w:hAnsi="Times New Roman"/>
          <w:b/>
          <w:caps w:val="0"/>
          <w:kern w:val="21"/>
          <w:sz w:val="32"/>
          <w:szCs w:val="32"/>
        </w:rPr>
        <w:t>水环境整体状况不理想。</w:t>
      </w:r>
      <w:r>
        <w:rPr>
          <w:rFonts w:ascii="Times New Roman" w:hAnsi="Times New Roman"/>
          <w:caps w:val="0"/>
          <w:kern w:val="21"/>
          <w:sz w:val="32"/>
          <w:szCs w:val="32"/>
        </w:rPr>
        <w:t>2013</w:t>
      </w:r>
      <w:r>
        <w:rPr>
          <w:rFonts w:hint="eastAsia"/>
          <w:caps w:val="0"/>
          <w:kern w:val="21"/>
          <w:sz w:val="32"/>
          <w:szCs w:val="32"/>
          <w:lang w:eastAsia="zh-CN"/>
        </w:rPr>
        <w:t>年—</w:t>
      </w:r>
      <w:r>
        <w:rPr>
          <w:rFonts w:ascii="Times New Roman" w:hAnsi="Times New Roman"/>
          <w:caps w:val="0"/>
          <w:kern w:val="21"/>
          <w:sz w:val="32"/>
          <w:szCs w:val="32"/>
        </w:rPr>
        <w:t>2020年</w:t>
      </w:r>
      <w:r>
        <w:rPr>
          <w:rFonts w:hint="eastAsia"/>
          <w:caps w:val="0"/>
          <w:kern w:val="21"/>
          <w:sz w:val="32"/>
          <w:szCs w:val="32"/>
          <w:lang w:eastAsia="zh-CN"/>
        </w:rPr>
        <w:t>，</w:t>
      </w:r>
      <w:r>
        <w:rPr>
          <w:rFonts w:ascii="Times New Roman" w:hAnsi="Times New Roman"/>
          <w:caps w:val="0"/>
          <w:kern w:val="21"/>
          <w:sz w:val="32"/>
          <w:szCs w:val="32"/>
        </w:rPr>
        <w:t>地表水水质有所好转，但白坭河、天马河和新街河水质类别为Ⅴ类，地表水环境形势依然严峻。城市集中式饮用水秀全水厂水源富营养化状况没有得到根本好转，仍属于轻度富营养</w:t>
      </w:r>
      <w:r>
        <w:rPr>
          <w:rFonts w:hint="eastAsia"/>
          <w:caps w:val="0"/>
          <w:kern w:val="21"/>
          <w:sz w:val="32"/>
          <w:szCs w:val="32"/>
          <w:lang w:eastAsia="zh-CN"/>
        </w:rPr>
        <w:t>状态</w:t>
      </w:r>
      <w:r>
        <w:rPr>
          <w:rFonts w:ascii="Times New Roman" w:hAnsi="Times New Roman"/>
          <w:caps w:val="0"/>
          <w:kern w:val="21"/>
          <w:sz w:val="32"/>
          <w:szCs w:val="32"/>
        </w:rPr>
        <w:t>。</w:t>
      </w:r>
    </w:p>
    <w:p>
      <w:pPr>
        <w:widowControl w:val="0"/>
        <w:wordWrap/>
        <w:adjustRightInd/>
        <w:snapToGrid/>
        <w:spacing w:line="240" w:lineRule="auto"/>
        <w:ind w:firstLine="632" w:firstLineChars="200"/>
        <w:jc w:val="both"/>
        <w:textAlignment w:val="auto"/>
        <w:rPr>
          <w:rFonts w:hint="eastAsia" w:ascii="Times New Roman" w:hAnsi="Times New Roman" w:eastAsia="仿宋_GB2312" w:cs="仿宋_GB2312"/>
          <w:caps w:val="0"/>
          <w:kern w:val="21"/>
          <w:sz w:val="32"/>
          <w:szCs w:val="32"/>
        </w:rPr>
      </w:pPr>
      <w:r>
        <w:rPr>
          <w:rFonts w:ascii="Times New Roman" w:hAnsi="Times New Roman"/>
          <w:b/>
          <w:caps w:val="0"/>
          <w:kern w:val="21"/>
          <w:sz w:val="32"/>
          <w:szCs w:val="32"/>
        </w:rPr>
        <w:t>污水</w:t>
      </w:r>
      <w:r>
        <w:rPr>
          <w:rFonts w:hint="eastAsia"/>
          <w:b/>
          <w:caps w:val="0"/>
          <w:kern w:val="21"/>
          <w:sz w:val="32"/>
          <w:szCs w:val="32"/>
          <w:lang w:eastAsia="zh-CN"/>
        </w:rPr>
        <w:t>处理</w:t>
      </w:r>
      <w:r>
        <w:rPr>
          <w:rFonts w:ascii="Times New Roman" w:hAnsi="Times New Roman"/>
          <w:b/>
          <w:caps w:val="0"/>
          <w:kern w:val="21"/>
          <w:sz w:val="32"/>
          <w:szCs w:val="32"/>
        </w:rPr>
        <w:t>厂污染物削减效能有待提升。</w:t>
      </w:r>
      <w:r>
        <w:rPr>
          <w:rFonts w:ascii="Times New Roman" w:hAnsi="Times New Roman"/>
          <w:caps w:val="0"/>
          <w:kern w:val="21"/>
          <w:sz w:val="32"/>
          <w:szCs w:val="32"/>
        </w:rPr>
        <w:t>花都区部分城镇污水处理厂运行负荷较低，炭步污水处理厂、梯面污水处理厂和花山净水厂一期工程运行负荷均低于50%；城镇污水处理厂进水氨氮平均浓度较低，有6座污水处理厂进水氨氮浓度低于20</w:t>
      </w:r>
      <w:r>
        <w:rPr>
          <w:rFonts w:hint="eastAsia" w:ascii="Times New Roman" w:hAnsi="Times New Roman" w:eastAsia="仿宋_GB2312" w:cs="仿宋_GB2312"/>
          <w:caps w:val="0"/>
          <w:kern w:val="21"/>
          <w:sz w:val="32"/>
          <w:szCs w:val="32"/>
        </w:rPr>
        <w:t>毫克/升，其中花山净水厂一期工程进水氨氮浓度仅有</w:t>
      </w:r>
      <w:r>
        <w:rPr>
          <w:rFonts w:ascii="Times New Roman" w:hAnsi="Times New Roman"/>
          <w:caps w:val="0"/>
          <w:kern w:val="21"/>
          <w:sz w:val="32"/>
          <w:szCs w:val="32"/>
        </w:rPr>
        <w:t>3.64</w:t>
      </w:r>
      <w:r>
        <w:rPr>
          <w:rFonts w:hint="eastAsia" w:ascii="Times New Roman" w:hAnsi="Times New Roman" w:eastAsia="仿宋_GB2312" w:cs="仿宋_GB2312"/>
          <w:caps w:val="0"/>
          <w:kern w:val="21"/>
          <w:sz w:val="32"/>
          <w:szCs w:val="32"/>
        </w:rPr>
        <w:t>毫克/升，城镇污水处理厂的污染物削减效能亟待加强。</w:t>
      </w:r>
    </w:p>
    <w:p>
      <w:pPr>
        <w:widowControl w:val="0"/>
        <w:wordWrap/>
        <w:adjustRightInd/>
        <w:snapToGrid/>
        <w:spacing w:line="240" w:lineRule="auto"/>
        <w:ind w:firstLine="632" w:firstLineChars="200"/>
        <w:jc w:val="both"/>
        <w:textAlignment w:val="auto"/>
        <w:rPr>
          <w:rFonts w:ascii="Times New Roman" w:hAnsi="Times New Roman"/>
          <w:caps w:val="0"/>
          <w:kern w:val="21"/>
          <w:sz w:val="32"/>
          <w:szCs w:val="32"/>
        </w:rPr>
      </w:pPr>
      <w:r>
        <w:rPr>
          <w:rFonts w:ascii="Times New Roman" w:hAnsi="Times New Roman"/>
          <w:b/>
          <w:caps w:val="0"/>
          <w:kern w:val="21"/>
          <w:sz w:val="32"/>
          <w:szCs w:val="32"/>
        </w:rPr>
        <w:t>生态需水不足，鱼类资源贫瘠。</w:t>
      </w:r>
      <w:r>
        <w:rPr>
          <w:rFonts w:ascii="Times New Roman" w:hAnsi="Times New Roman"/>
          <w:caps w:val="0"/>
          <w:kern w:val="21"/>
          <w:sz w:val="32"/>
          <w:szCs w:val="32"/>
        </w:rPr>
        <w:t>洪秀全水库、流溪河花都段生态用水量不足</w:t>
      </w:r>
      <w:r>
        <w:rPr>
          <w:rFonts w:hint="eastAsia"/>
          <w:caps w:val="0"/>
          <w:kern w:val="21"/>
          <w:sz w:val="32"/>
          <w:szCs w:val="32"/>
          <w:lang w:eastAsia="zh-CN"/>
        </w:rPr>
        <w:t>，</w:t>
      </w:r>
      <w:r>
        <w:rPr>
          <w:rFonts w:ascii="Times New Roman" w:hAnsi="Times New Roman"/>
          <w:caps w:val="0"/>
          <w:kern w:val="21"/>
          <w:sz w:val="32"/>
          <w:szCs w:val="32"/>
        </w:rPr>
        <w:t>广州北江引水工程进展缓慢。流溪河李溪坝未配套建设过鱼道，洄游鱼类无法通过大坝，造成鱼类资源贫瘠。</w:t>
      </w:r>
    </w:p>
    <w:p>
      <w:pPr>
        <w:widowControl w:val="0"/>
        <w:wordWrap/>
        <w:adjustRightInd/>
        <w:snapToGrid/>
        <w:spacing w:line="240" w:lineRule="auto"/>
        <w:ind w:firstLine="632" w:firstLineChars="200"/>
        <w:jc w:val="both"/>
        <w:textAlignment w:val="auto"/>
        <w:rPr>
          <w:rFonts w:ascii="Times New Roman" w:hAnsi="Times New Roman"/>
          <w:caps w:val="0"/>
          <w:kern w:val="21"/>
          <w:sz w:val="32"/>
          <w:szCs w:val="32"/>
        </w:rPr>
      </w:pPr>
      <w:r>
        <w:rPr>
          <w:rFonts w:ascii="Times New Roman" w:hAnsi="Times New Roman"/>
          <w:b/>
          <w:caps w:val="0"/>
          <w:kern w:val="21"/>
          <w:sz w:val="32"/>
          <w:szCs w:val="32"/>
        </w:rPr>
        <w:t>境外来水影响。</w:t>
      </w:r>
      <w:r>
        <w:rPr>
          <w:rFonts w:ascii="Times New Roman" w:hAnsi="Times New Roman"/>
          <w:caps w:val="0"/>
          <w:kern w:val="21"/>
          <w:sz w:val="32"/>
          <w:szCs w:val="32"/>
        </w:rPr>
        <w:t>由于上游来水水质不理想，从清远进入花都的国泰河、</w:t>
      </w:r>
      <w:r>
        <w:rPr>
          <w:rFonts w:hint="eastAsia"/>
          <w:caps w:val="0"/>
          <w:kern w:val="21"/>
          <w:sz w:val="32"/>
          <w:szCs w:val="32"/>
          <w:lang w:eastAsia="zh-CN"/>
        </w:rPr>
        <w:t>从</w:t>
      </w:r>
      <w:r>
        <w:rPr>
          <w:rFonts w:ascii="Times New Roman" w:hAnsi="Times New Roman"/>
          <w:caps w:val="0"/>
          <w:kern w:val="21"/>
          <w:sz w:val="32"/>
          <w:szCs w:val="32"/>
        </w:rPr>
        <w:t>佛山进入花都的九曲河、下巴排洪河、望岗涌、鲤鱼涌、五和涌水质类别均属于劣Ⅴ类，为重度污染，主要污染物为氨氮、溶解氧、总磷、化学需氧量，呈现明显的耗氧性有机物污染特征。</w:t>
      </w:r>
    </w:p>
    <w:p>
      <w:pPr>
        <w:widowControl w:val="0"/>
        <w:wordWrap/>
        <w:adjustRightInd/>
        <w:snapToGrid/>
        <w:spacing w:line="240" w:lineRule="auto"/>
        <w:ind w:firstLine="632" w:firstLineChars="200"/>
        <w:jc w:val="both"/>
        <w:textAlignment w:val="auto"/>
        <w:rPr>
          <w:rFonts w:ascii="Times New Roman" w:hAnsi="Times New Roman"/>
          <w:caps w:val="0"/>
          <w:kern w:val="21"/>
          <w:sz w:val="32"/>
          <w:szCs w:val="32"/>
        </w:rPr>
      </w:pPr>
      <w:r>
        <w:rPr>
          <w:rFonts w:ascii="Times New Roman" w:hAnsi="Times New Roman"/>
          <w:b/>
          <w:caps w:val="0"/>
          <w:kern w:val="21"/>
          <w:sz w:val="32"/>
          <w:szCs w:val="32"/>
        </w:rPr>
        <w:t>地下水监管有待加强。</w:t>
      </w:r>
      <w:r>
        <w:rPr>
          <w:rFonts w:ascii="Times New Roman" w:hAnsi="Times New Roman"/>
          <w:caps w:val="0"/>
          <w:kern w:val="21"/>
          <w:sz w:val="32"/>
          <w:szCs w:val="32"/>
        </w:rPr>
        <w:t>地下水污染监管能力薄弱，地下水环境监管体系待构建，水质污染风险防范能力尚待加强。</w:t>
      </w:r>
    </w:p>
    <w:p>
      <w:pPr>
        <w:widowControl w:val="0"/>
        <w:wordWrap/>
        <w:adjustRightInd/>
        <w:snapToGrid/>
        <w:spacing w:line="240" w:lineRule="auto"/>
        <w:ind w:firstLine="632" w:firstLineChars="200"/>
        <w:jc w:val="both"/>
        <w:textAlignment w:val="auto"/>
        <w:rPr>
          <w:rFonts w:ascii="Times New Roman" w:hAnsi="Times New Roman"/>
          <w:b/>
          <w:caps w:val="0"/>
          <w:kern w:val="21"/>
          <w:sz w:val="32"/>
          <w:szCs w:val="32"/>
        </w:rPr>
      </w:pPr>
      <w:r>
        <w:rPr>
          <w:rFonts w:ascii="Times New Roman" w:hAnsi="Times New Roman"/>
          <w:b/>
          <w:caps w:val="0"/>
          <w:kern w:val="21"/>
          <w:sz w:val="32"/>
          <w:szCs w:val="32"/>
        </w:rPr>
        <w:t>3.4.2大气环境</w:t>
      </w:r>
    </w:p>
    <w:p>
      <w:pPr>
        <w:widowControl w:val="0"/>
        <w:wordWrap/>
        <w:adjustRightInd/>
        <w:snapToGrid/>
        <w:spacing w:line="240" w:lineRule="auto"/>
        <w:ind w:firstLine="632" w:firstLineChars="200"/>
        <w:jc w:val="both"/>
        <w:textAlignment w:val="auto"/>
        <w:rPr>
          <w:rFonts w:ascii="Times New Roman" w:hAnsi="Times New Roman"/>
          <w:caps w:val="0"/>
          <w:kern w:val="21"/>
          <w:sz w:val="32"/>
          <w:szCs w:val="32"/>
          <w:highlight w:val="yellow"/>
        </w:rPr>
      </w:pPr>
      <w:r>
        <w:rPr>
          <w:rFonts w:ascii="Times New Roman" w:hAnsi="Times New Roman"/>
          <w:b/>
          <w:caps w:val="0"/>
          <w:kern w:val="21"/>
          <w:sz w:val="32"/>
          <w:szCs w:val="32"/>
        </w:rPr>
        <w:t>臭氧污染问题日益突显。</w:t>
      </w:r>
      <w:r>
        <w:rPr>
          <w:rFonts w:ascii="Times New Roman" w:hAnsi="Times New Roman"/>
          <w:caps w:val="0"/>
          <w:kern w:val="21"/>
          <w:sz w:val="32"/>
          <w:szCs w:val="32"/>
        </w:rPr>
        <w:t>臭氧浓度水平总体仍呈轻微上升趋势，并成为影响空气质量达标的关键因素。虽然2020</w:t>
      </w:r>
      <w:r>
        <w:rPr>
          <w:rFonts w:hint="eastAsia" w:ascii="Times New Roman" w:hAnsi="Times New Roman" w:eastAsia="仿宋_GB2312" w:cs="仿宋_GB2312"/>
          <w:caps w:val="0"/>
          <w:kern w:val="21"/>
          <w:sz w:val="32"/>
          <w:szCs w:val="32"/>
        </w:rPr>
        <w:t>年臭氧浓度已达标，但仅为“压线达标”，占标率</w:t>
      </w:r>
      <w:r>
        <w:rPr>
          <w:rFonts w:ascii="Times New Roman" w:hAnsi="Times New Roman"/>
          <w:caps w:val="0"/>
          <w:kern w:val="21"/>
          <w:sz w:val="32"/>
          <w:szCs w:val="32"/>
        </w:rPr>
        <w:t>97.5%，距离标准限值较近。且考虑到受到疫情、冬季气温偏低等</w:t>
      </w:r>
      <w:r>
        <w:rPr>
          <w:rFonts w:hint="eastAsia"/>
          <w:caps w:val="0"/>
          <w:kern w:val="21"/>
          <w:sz w:val="32"/>
          <w:szCs w:val="32"/>
          <w:lang w:eastAsia="zh-CN"/>
        </w:rPr>
        <w:t>客观</w:t>
      </w:r>
      <w:r>
        <w:rPr>
          <w:rFonts w:ascii="Times New Roman" w:hAnsi="Times New Roman"/>
          <w:caps w:val="0"/>
          <w:kern w:val="21"/>
          <w:sz w:val="32"/>
          <w:szCs w:val="32"/>
        </w:rPr>
        <w:t>因素影响，预计未来臭氧污染仍是花都区大气环境面临的一大挑战，达标压力仍然较大。</w:t>
      </w:r>
    </w:p>
    <w:p>
      <w:pPr>
        <w:widowControl w:val="0"/>
        <w:wordWrap/>
        <w:adjustRightInd/>
        <w:snapToGrid/>
        <w:spacing w:line="240" w:lineRule="auto"/>
        <w:ind w:firstLine="632" w:firstLineChars="200"/>
        <w:jc w:val="both"/>
        <w:textAlignment w:val="auto"/>
        <w:rPr>
          <w:rFonts w:ascii="Times New Roman" w:hAnsi="Times New Roman"/>
          <w:caps w:val="0"/>
          <w:kern w:val="21"/>
          <w:sz w:val="32"/>
          <w:szCs w:val="32"/>
          <w:highlight w:val="yellow"/>
        </w:rPr>
      </w:pPr>
      <w:r>
        <w:rPr>
          <w:rFonts w:ascii="Times New Roman" w:hAnsi="Times New Roman"/>
          <w:b/>
          <w:caps w:val="0"/>
          <w:kern w:val="21"/>
          <w:sz w:val="32"/>
          <w:szCs w:val="32"/>
        </w:rPr>
        <w:t>道路移动源防控压力持续加大。</w:t>
      </w:r>
      <w:r>
        <w:rPr>
          <w:rFonts w:ascii="Times New Roman" w:hAnsi="Times New Roman"/>
          <w:bCs/>
          <w:caps w:val="0"/>
          <w:kern w:val="21"/>
          <w:sz w:val="32"/>
          <w:szCs w:val="32"/>
        </w:rPr>
        <w:t>花都区正着力打造广州国家中心城市航空都会区和大综合交通枢纽体系</w:t>
      </w:r>
      <w:r>
        <w:rPr>
          <w:rFonts w:hint="eastAsia"/>
          <w:bCs/>
          <w:caps w:val="0"/>
          <w:kern w:val="21"/>
          <w:sz w:val="32"/>
          <w:szCs w:val="32"/>
          <w:lang w:eastAsia="zh-CN"/>
        </w:rPr>
        <w:t>，</w:t>
      </w:r>
      <w:r>
        <w:rPr>
          <w:rFonts w:ascii="Times New Roman" w:hAnsi="Times New Roman"/>
          <w:bCs/>
          <w:caps w:val="0"/>
          <w:kern w:val="21"/>
          <w:sz w:val="32"/>
          <w:szCs w:val="32"/>
        </w:rPr>
        <w:t>因此可预见未来将面临来自区内和区域的内外双重交通压力，上路汽车数量将持续上升，尾气排放量也将随之上升；另一方面，随着空港的不断发展，航空运力增加，航空交通的大气污染物排放量也将随之上升。因此，来自移动源的大气污染物排放将对花都区空气质量改善形成明显的压力。</w:t>
      </w:r>
    </w:p>
    <w:p>
      <w:pPr>
        <w:widowControl w:val="0"/>
        <w:wordWrap/>
        <w:adjustRightInd/>
        <w:snapToGrid/>
        <w:spacing w:line="240" w:lineRule="auto"/>
        <w:ind w:firstLine="632" w:firstLineChars="200"/>
        <w:jc w:val="both"/>
        <w:textAlignment w:val="auto"/>
        <w:rPr>
          <w:rFonts w:ascii="Times New Roman" w:hAnsi="Times New Roman"/>
          <w:caps w:val="0"/>
          <w:kern w:val="21"/>
          <w:sz w:val="32"/>
          <w:szCs w:val="32"/>
        </w:rPr>
      </w:pPr>
      <w:r>
        <w:rPr>
          <w:rFonts w:ascii="Times New Roman" w:hAnsi="Times New Roman"/>
          <w:b/>
          <w:caps w:val="0"/>
          <w:kern w:val="21"/>
          <w:sz w:val="32"/>
          <w:szCs w:val="32"/>
        </w:rPr>
        <w:t>VOCs治理有待细化。</w:t>
      </w:r>
      <w:r>
        <w:rPr>
          <w:rFonts w:ascii="Times New Roman" w:hAnsi="Times New Roman"/>
          <w:caps w:val="0"/>
          <w:kern w:val="21"/>
          <w:sz w:val="32"/>
          <w:szCs w:val="32"/>
        </w:rPr>
        <w:t>VOCs是臭氧生成的关键前体物，同时也是PM</w:t>
      </w:r>
      <w:r>
        <w:rPr>
          <w:rFonts w:ascii="Times New Roman" w:hAnsi="Times New Roman"/>
          <w:caps w:val="0"/>
          <w:kern w:val="21"/>
          <w:sz w:val="32"/>
          <w:szCs w:val="32"/>
          <w:vertAlign w:val="subscript"/>
        </w:rPr>
        <w:t>2.5</w:t>
      </w:r>
      <w:r>
        <w:rPr>
          <w:rFonts w:ascii="Times New Roman" w:hAnsi="Times New Roman"/>
          <w:caps w:val="0"/>
          <w:kern w:val="21"/>
          <w:sz w:val="32"/>
          <w:szCs w:val="32"/>
        </w:rPr>
        <w:t>的重要来源。通过排放现状分析</w:t>
      </w:r>
      <w:r>
        <w:rPr>
          <w:rFonts w:hint="eastAsia"/>
          <w:caps w:val="0"/>
          <w:kern w:val="21"/>
          <w:sz w:val="32"/>
          <w:szCs w:val="32"/>
          <w:lang w:eastAsia="zh-CN"/>
        </w:rPr>
        <w:t>，</w:t>
      </w:r>
      <w:r>
        <w:rPr>
          <w:rFonts w:ascii="Times New Roman" w:hAnsi="Times New Roman"/>
          <w:caps w:val="0"/>
          <w:kern w:val="21"/>
          <w:sz w:val="32"/>
          <w:szCs w:val="32"/>
        </w:rPr>
        <w:t>发现VOCs的排放源多样且贡献分散，难以通过简单整治方案达至高效控制。由于目前对于花都区VOCs组分的排放特征及其对臭氧、PM</w:t>
      </w:r>
      <w:r>
        <w:rPr>
          <w:rFonts w:ascii="Times New Roman" w:hAnsi="Times New Roman"/>
          <w:caps w:val="0"/>
          <w:kern w:val="21"/>
          <w:sz w:val="32"/>
          <w:szCs w:val="32"/>
          <w:vertAlign w:val="subscript"/>
        </w:rPr>
        <w:t>2.5</w:t>
      </w:r>
      <w:r>
        <w:rPr>
          <w:rFonts w:ascii="Times New Roman" w:hAnsi="Times New Roman"/>
          <w:caps w:val="0"/>
          <w:kern w:val="21"/>
          <w:sz w:val="32"/>
          <w:szCs w:val="32"/>
        </w:rPr>
        <w:t>的生成贡献仍未完全掌握，因此难以定量精准地对VOCs排放实施高效治理。</w:t>
      </w:r>
    </w:p>
    <w:p>
      <w:pPr>
        <w:widowControl w:val="0"/>
        <w:wordWrap/>
        <w:adjustRightInd/>
        <w:snapToGrid/>
        <w:spacing w:line="240" w:lineRule="auto"/>
        <w:ind w:firstLine="632" w:firstLineChars="200"/>
        <w:jc w:val="both"/>
        <w:textAlignment w:val="auto"/>
        <w:rPr>
          <w:rFonts w:ascii="Times New Roman" w:hAnsi="Times New Roman"/>
          <w:b/>
          <w:bCs/>
          <w:caps w:val="0"/>
          <w:kern w:val="21"/>
          <w:sz w:val="32"/>
          <w:szCs w:val="32"/>
        </w:rPr>
      </w:pPr>
      <w:r>
        <w:rPr>
          <w:rFonts w:ascii="Times New Roman" w:hAnsi="Times New Roman"/>
          <w:b/>
          <w:caps w:val="0"/>
          <w:kern w:val="21"/>
          <w:sz w:val="32"/>
          <w:szCs w:val="32"/>
        </w:rPr>
        <w:t>3.4.3</w:t>
      </w:r>
      <w:r>
        <w:rPr>
          <w:rFonts w:ascii="Times New Roman" w:hAnsi="Times New Roman"/>
          <w:b/>
          <w:bCs/>
          <w:caps w:val="0"/>
          <w:kern w:val="21"/>
          <w:sz w:val="32"/>
          <w:szCs w:val="32"/>
        </w:rPr>
        <w:t>生态建设</w:t>
      </w:r>
    </w:p>
    <w:p>
      <w:pPr>
        <w:widowControl w:val="0"/>
        <w:wordWrap/>
        <w:adjustRightInd/>
        <w:snapToGrid/>
        <w:spacing w:line="240" w:lineRule="auto"/>
        <w:ind w:firstLine="632" w:firstLineChars="200"/>
        <w:jc w:val="both"/>
        <w:textAlignment w:val="auto"/>
        <w:rPr>
          <w:rFonts w:ascii="Times New Roman" w:hAnsi="Times New Roman"/>
          <w:caps w:val="0"/>
          <w:kern w:val="21"/>
          <w:sz w:val="32"/>
          <w:szCs w:val="32"/>
        </w:rPr>
      </w:pPr>
      <w:r>
        <w:rPr>
          <w:rFonts w:ascii="Times New Roman" w:hAnsi="Times New Roman"/>
          <w:caps w:val="0"/>
          <w:kern w:val="21"/>
          <w:sz w:val="32"/>
          <w:szCs w:val="32"/>
        </w:rPr>
        <w:t>花都区生态保护体系不明确，生态用地刚性约束不足，空间分级管控尚未形成统一、有效的体系。生态廊道连接性差。城市建设活动剧烈，山前过渡带生态系统等生态廊道空间被侵蚀严重，未形成有效廊道连接。规划生态廊道和组团隔离带现状建设较多，连通度不高。尚未形成合理有效的绿色生态空间网络。自然保护地现存一系列历史遗留问题，如自然保护地批复面积、实际管辖面积与矢量面积不一致，自然保护地边界不清晰，范围和功能区界线未实地落界等。随着城市开发建设，花都西北部山区存在被逐步侵蚀的压力，其保护与发展存在现实困境。北部和西部山地农田区受城市化影响大，出现较多块状建设用地。花都区的建成区绿地率、建成区绿化覆盖率、人均公园和开敞空间面积和公园绿地服务半径覆盖率均低于广州市平均水平。生态环境保护的压力依然明显。</w:t>
      </w:r>
    </w:p>
    <w:p>
      <w:pPr>
        <w:widowControl w:val="0"/>
        <w:wordWrap/>
        <w:adjustRightInd/>
        <w:snapToGrid/>
        <w:spacing w:line="240" w:lineRule="auto"/>
        <w:ind w:firstLine="632" w:firstLineChars="200"/>
        <w:jc w:val="both"/>
        <w:textAlignment w:val="auto"/>
        <w:rPr>
          <w:rFonts w:ascii="Times New Roman" w:hAnsi="Times New Roman"/>
          <w:b/>
          <w:caps w:val="0"/>
          <w:kern w:val="21"/>
          <w:sz w:val="32"/>
          <w:szCs w:val="32"/>
        </w:rPr>
      </w:pPr>
      <w:r>
        <w:rPr>
          <w:rFonts w:ascii="Times New Roman" w:hAnsi="Times New Roman"/>
          <w:b/>
          <w:caps w:val="0"/>
          <w:kern w:val="21"/>
          <w:sz w:val="32"/>
          <w:szCs w:val="32"/>
        </w:rPr>
        <w:t>3.4.4能力建设</w:t>
      </w:r>
    </w:p>
    <w:p>
      <w:pPr>
        <w:widowControl w:val="0"/>
        <w:wordWrap/>
        <w:adjustRightInd/>
        <w:snapToGrid/>
        <w:spacing w:line="240" w:lineRule="auto"/>
        <w:ind w:firstLine="632" w:firstLineChars="200"/>
        <w:jc w:val="both"/>
        <w:textAlignment w:val="auto"/>
        <w:rPr>
          <w:rFonts w:ascii="Times New Roman" w:hAnsi="Times New Roman"/>
          <w:caps w:val="0"/>
          <w:kern w:val="21"/>
          <w:sz w:val="32"/>
          <w:szCs w:val="32"/>
        </w:rPr>
      </w:pPr>
      <w:r>
        <w:rPr>
          <w:rFonts w:ascii="Times New Roman" w:hAnsi="Times New Roman"/>
          <w:caps w:val="0"/>
          <w:kern w:val="21"/>
          <w:sz w:val="32"/>
          <w:szCs w:val="32"/>
        </w:rPr>
        <w:t>污染防治和生态保护的队伍建设有待加强。环保执法人员数量与日益增大的工作量不平衡，监管力量弱，手段单一，执法及监测技术水平相对滞后</w:t>
      </w:r>
      <w:r>
        <w:rPr>
          <w:rFonts w:hint="eastAsia"/>
          <w:caps w:val="0"/>
          <w:kern w:val="21"/>
          <w:sz w:val="32"/>
          <w:szCs w:val="32"/>
          <w:lang w:eastAsia="zh-CN"/>
        </w:rPr>
        <w:t>。</w:t>
      </w:r>
      <w:r>
        <w:rPr>
          <w:rFonts w:ascii="Times New Roman" w:hAnsi="Times New Roman"/>
          <w:caps w:val="0"/>
          <w:kern w:val="21"/>
          <w:sz w:val="32"/>
          <w:szCs w:val="32"/>
        </w:rPr>
        <w:t>人员流动性大或流失</w:t>
      </w:r>
      <w:r>
        <w:rPr>
          <w:rFonts w:hint="eastAsia"/>
          <w:caps w:val="0"/>
          <w:kern w:val="21"/>
          <w:sz w:val="32"/>
          <w:szCs w:val="32"/>
          <w:lang w:eastAsia="zh-CN"/>
        </w:rPr>
        <w:t>严重</w:t>
      </w:r>
      <w:r>
        <w:rPr>
          <w:rFonts w:ascii="Times New Roman" w:hAnsi="Times New Roman"/>
          <w:caps w:val="0"/>
          <w:kern w:val="21"/>
          <w:sz w:val="32"/>
          <w:szCs w:val="32"/>
        </w:rPr>
        <w:t>，工作压力大、工作任务重、问责风险高，存在工作业务断链、工作衔接不上</w:t>
      </w:r>
      <w:r>
        <w:rPr>
          <w:rFonts w:hint="eastAsia"/>
          <w:caps w:val="0"/>
          <w:kern w:val="21"/>
          <w:sz w:val="32"/>
          <w:szCs w:val="32"/>
          <w:lang w:eastAsia="zh-CN"/>
        </w:rPr>
        <w:t>等问题</w:t>
      </w:r>
      <w:r>
        <w:rPr>
          <w:rFonts w:ascii="Times New Roman" w:hAnsi="Times New Roman"/>
          <w:caps w:val="0"/>
          <w:kern w:val="21"/>
          <w:sz w:val="32"/>
          <w:szCs w:val="32"/>
        </w:rPr>
        <w:t>，缺乏专业技术人才。各镇</w:t>
      </w:r>
      <w:r>
        <w:rPr>
          <w:rFonts w:hint="eastAsia"/>
          <w:caps w:val="0"/>
          <w:kern w:val="21"/>
          <w:sz w:val="32"/>
          <w:szCs w:val="32"/>
          <w:lang w:eastAsia="zh-CN"/>
        </w:rPr>
        <w:t>（</w:t>
      </w:r>
      <w:r>
        <w:rPr>
          <w:rFonts w:ascii="Times New Roman" w:hAnsi="Times New Roman"/>
          <w:caps w:val="0"/>
          <w:kern w:val="21"/>
          <w:sz w:val="32"/>
          <w:szCs w:val="32"/>
        </w:rPr>
        <w:t>街</w:t>
      </w:r>
      <w:r>
        <w:rPr>
          <w:rFonts w:hint="eastAsia"/>
          <w:caps w:val="0"/>
          <w:kern w:val="21"/>
          <w:sz w:val="32"/>
          <w:szCs w:val="32"/>
          <w:lang w:eastAsia="zh-CN"/>
        </w:rPr>
        <w:t>）</w:t>
      </w:r>
      <w:r>
        <w:rPr>
          <w:rFonts w:ascii="Times New Roman" w:hAnsi="Times New Roman"/>
          <w:caps w:val="0"/>
          <w:kern w:val="21"/>
          <w:sz w:val="32"/>
          <w:szCs w:val="32"/>
        </w:rPr>
        <w:t>尚未建立独立的环境保护机构，镇级环保人员少且身兼</w:t>
      </w:r>
      <w:r>
        <w:rPr>
          <w:rFonts w:hint="eastAsia"/>
          <w:caps w:val="0"/>
          <w:kern w:val="21"/>
          <w:sz w:val="32"/>
          <w:szCs w:val="32"/>
          <w:lang w:eastAsia="zh-CN"/>
        </w:rPr>
        <w:t>数</w:t>
      </w:r>
      <w:r>
        <w:rPr>
          <w:rFonts w:ascii="Times New Roman" w:hAnsi="Times New Roman"/>
          <w:caps w:val="0"/>
          <w:kern w:val="21"/>
          <w:sz w:val="32"/>
          <w:szCs w:val="32"/>
        </w:rPr>
        <w:t>职，对部分环境问题不能进行及时有效的处理。</w:t>
      </w:r>
    </w:p>
    <w:p>
      <w:pPr>
        <w:widowControl w:val="0"/>
        <w:wordWrap/>
        <w:adjustRightInd/>
        <w:snapToGrid/>
        <w:spacing w:line="240" w:lineRule="auto"/>
        <w:ind w:firstLine="632" w:firstLineChars="200"/>
        <w:jc w:val="both"/>
        <w:textAlignment w:val="auto"/>
        <w:rPr>
          <w:rFonts w:ascii="Times New Roman" w:hAnsi="Times New Roman"/>
          <w:b/>
          <w:caps w:val="0"/>
          <w:kern w:val="21"/>
          <w:sz w:val="32"/>
          <w:szCs w:val="32"/>
        </w:rPr>
      </w:pPr>
      <w:r>
        <w:rPr>
          <w:rFonts w:ascii="Times New Roman" w:hAnsi="Times New Roman"/>
          <w:b/>
          <w:caps w:val="0"/>
          <w:kern w:val="21"/>
          <w:sz w:val="32"/>
          <w:szCs w:val="32"/>
        </w:rPr>
        <w:t>3.4.5制度建设</w:t>
      </w:r>
    </w:p>
    <w:p>
      <w:pPr>
        <w:widowControl w:val="0"/>
        <w:wordWrap/>
        <w:adjustRightInd/>
        <w:snapToGrid/>
        <w:spacing w:line="240" w:lineRule="auto"/>
        <w:ind w:firstLine="632" w:firstLineChars="200"/>
        <w:jc w:val="both"/>
        <w:textAlignment w:val="auto"/>
        <w:rPr>
          <w:rFonts w:hint="eastAsia" w:ascii="Times New Roman" w:hAnsi="Times New Roman"/>
          <w:caps w:val="0"/>
          <w:kern w:val="21"/>
          <w:sz w:val="32"/>
          <w:szCs w:val="32"/>
        </w:rPr>
      </w:pPr>
      <w:r>
        <w:rPr>
          <w:rFonts w:ascii="Times New Roman" w:hAnsi="Times New Roman"/>
          <w:caps w:val="0"/>
          <w:kern w:val="21"/>
          <w:sz w:val="32"/>
          <w:szCs w:val="32"/>
        </w:rPr>
        <w:t>区域协调机制未完全形成。跨界污染发现难、界定难、取证难、处理难，易产生监管盲区，且目前跨区域环境污染治理机制仍然不够健全。联合执法机制运行效能不高，环境保护工作综合协调和统一监管能力较低，与其他职能部门联合执法未形成合力，仍</w:t>
      </w:r>
      <w:r>
        <w:rPr>
          <w:rFonts w:hint="eastAsia"/>
          <w:caps w:val="0"/>
          <w:kern w:val="21"/>
          <w:sz w:val="32"/>
          <w:szCs w:val="32"/>
          <w:lang w:eastAsia="zh-CN"/>
        </w:rPr>
        <w:t>处于</w:t>
      </w:r>
      <w:r>
        <w:rPr>
          <w:rFonts w:ascii="Times New Roman" w:hAnsi="Times New Roman"/>
          <w:caps w:val="0"/>
          <w:kern w:val="21"/>
          <w:sz w:val="32"/>
          <w:szCs w:val="32"/>
        </w:rPr>
        <w:t>单打独斗的被动局面</w:t>
      </w:r>
      <w:r>
        <w:rPr>
          <w:rFonts w:hint="eastAsia" w:ascii="Times New Roman" w:hAnsi="Times New Roman"/>
          <w:caps w:val="0"/>
          <w:kern w:val="21"/>
          <w:sz w:val="32"/>
          <w:szCs w:val="32"/>
        </w:rPr>
        <w:t>。</w:t>
      </w:r>
    </w:p>
    <w:p>
      <w:pPr>
        <w:widowControl w:val="0"/>
        <w:wordWrap/>
        <w:adjustRightInd/>
        <w:snapToGrid/>
        <w:spacing w:line="240" w:lineRule="auto"/>
        <w:ind w:firstLine="632" w:firstLineChars="200"/>
        <w:jc w:val="both"/>
        <w:textAlignment w:val="auto"/>
        <w:rPr>
          <w:rFonts w:hint="eastAsia" w:ascii="Times New Roman" w:hAnsi="Times New Roman"/>
          <w:caps w:val="0"/>
          <w:kern w:val="21"/>
          <w:sz w:val="32"/>
          <w:szCs w:val="32"/>
        </w:rPr>
      </w:pPr>
    </w:p>
    <w:p>
      <w:pPr>
        <w:widowControl w:val="0"/>
        <w:wordWrap/>
        <w:adjustRightInd/>
        <w:snapToGrid/>
        <w:spacing w:line="240" w:lineRule="auto"/>
        <w:ind w:firstLine="632" w:firstLineChars="200"/>
        <w:jc w:val="both"/>
        <w:textAlignment w:val="auto"/>
        <w:rPr>
          <w:rFonts w:ascii="Times New Roman" w:hAnsi="Times New Roman"/>
        </w:rPr>
        <w:sectPr>
          <w:pgSz w:w="11906" w:h="16838"/>
          <w:pgMar w:top="2098" w:right="1474" w:bottom="1984" w:left="1587" w:header="851" w:footer="1531" w:gutter="0"/>
          <w:pgNumType w:fmt="decimal"/>
          <w:cols w:space="720" w:num="1"/>
          <w:rtlGutter w:val="0"/>
          <w:docGrid w:type="linesAndChars" w:linePitch="579" w:charSpace="-842"/>
        </w:sectPr>
      </w:pPr>
    </w:p>
    <w:p>
      <w:pPr>
        <w:pStyle w:val="3"/>
        <w:keepNext/>
        <w:keepLines/>
        <w:widowControl w:val="0"/>
        <w:wordWrap/>
        <w:adjustRightInd/>
        <w:snapToGrid/>
        <w:spacing w:beforeLines="50" w:afterLines="50" w:line="240" w:lineRule="auto"/>
        <w:ind w:firstLine="632" w:firstLineChars="200"/>
        <w:jc w:val="both"/>
        <w:textAlignment w:val="auto"/>
        <w:rPr>
          <w:rFonts w:hint="eastAsia" w:ascii="Times New Roman" w:hAnsi="Times New Roman" w:eastAsia="黑体" w:cs="黑体"/>
          <w:b w:val="0"/>
          <w:bCs w:val="0"/>
          <w:caps w:val="0"/>
          <w:kern w:val="21"/>
          <w:sz w:val="32"/>
          <w:szCs w:val="32"/>
        </w:rPr>
      </w:pPr>
      <w:bookmarkStart w:id="30" w:name="_Toc88053807"/>
      <w:r>
        <w:rPr>
          <w:rFonts w:hint="default" w:ascii="Times New Roman" w:hAnsi="Times New Roman" w:eastAsia="黑体" w:cs="Times New Roman"/>
          <w:b w:val="0"/>
          <w:bCs w:val="0"/>
          <w:caps w:val="0"/>
          <w:kern w:val="21"/>
          <w:sz w:val="32"/>
          <w:szCs w:val="32"/>
        </w:rPr>
        <w:t>4、</w:t>
      </w:r>
      <w:r>
        <w:rPr>
          <w:rFonts w:hint="eastAsia" w:ascii="Times New Roman" w:hAnsi="Times New Roman" w:eastAsia="黑体" w:cs="黑体"/>
          <w:b w:val="0"/>
          <w:bCs w:val="0"/>
          <w:caps w:val="0"/>
          <w:kern w:val="21"/>
          <w:sz w:val="32"/>
          <w:szCs w:val="32"/>
        </w:rPr>
        <w:t>规划目标与指标</w:t>
      </w:r>
      <w:bookmarkEnd w:id="30"/>
    </w:p>
    <w:p>
      <w:pPr>
        <w:pStyle w:val="4"/>
        <w:keepNext/>
        <w:keepLines/>
        <w:widowControl w:val="0"/>
        <w:wordWrap/>
        <w:adjustRightInd/>
        <w:snapToGrid/>
        <w:spacing w:beforeLines="50" w:afterLines="50" w:line="240" w:lineRule="auto"/>
        <w:ind w:firstLine="632" w:firstLineChars="200"/>
        <w:jc w:val="both"/>
        <w:textAlignment w:val="auto"/>
        <w:rPr>
          <w:rFonts w:hint="eastAsia" w:ascii="Times New Roman" w:hAnsi="Times New Roman" w:eastAsia="楷体_GB2312" w:cs="楷体_GB2312"/>
          <w:b w:val="0"/>
          <w:bCs w:val="0"/>
          <w:caps w:val="0"/>
          <w:kern w:val="21"/>
          <w:sz w:val="32"/>
          <w:szCs w:val="32"/>
        </w:rPr>
      </w:pPr>
      <w:bookmarkStart w:id="31" w:name="_Toc88053808"/>
      <w:bookmarkStart w:id="32" w:name="_Hlk88048225"/>
      <w:r>
        <w:rPr>
          <w:rFonts w:hint="default" w:ascii="Times New Roman" w:hAnsi="Times New Roman" w:eastAsia="楷体_GB2312" w:cs="Times New Roman"/>
          <w:b w:val="0"/>
          <w:bCs w:val="0"/>
          <w:caps w:val="0"/>
          <w:kern w:val="21"/>
          <w:sz w:val="32"/>
          <w:szCs w:val="32"/>
        </w:rPr>
        <w:t>4.1</w:t>
      </w:r>
      <w:r>
        <w:rPr>
          <w:rFonts w:hint="eastAsia" w:ascii="Times New Roman" w:hAnsi="Times New Roman" w:eastAsia="楷体_GB2312" w:cs="楷体_GB2312"/>
          <w:b w:val="0"/>
          <w:bCs w:val="0"/>
          <w:caps w:val="0"/>
          <w:kern w:val="21"/>
          <w:sz w:val="32"/>
          <w:szCs w:val="32"/>
        </w:rPr>
        <w:t>总体目标</w:t>
      </w:r>
      <w:bookmarkEnd w:id="31"/>
    </w:p>
    <w:p>
      <w:pPr>
        <w:widowControl w:val="0"/>
        <w:wordWrap/>
        <w:adjustRightInd/>
        <w:snapToGrid/>
        <w:spacing w:line="592" w:lineRule="exact"/>
        <w:ind w:firstLine="632" w:firstLineChars="200"/>
        <w:jc w:val="both"/>
        <w:textAlignment w:val="auto"/>
        <w:rPr>
          <w:rFonts w:hint="eastAsia" w:ascii="Times New Roman" w:hAnsi="Times New Roman" w:eastAsia="仿宋_GB2312" w:cs="仿宋_GB2312"/>
          <w:caps w:val="0"/>
          <w:kern w:val="21"/>
          <w:sz w:val="32"/>
          <w:szCs w:val="32"/>
        </w:rPr>
      </w:pPr>
      <w:r>
        <w:rPr>
          <w:rFonts w:hint="eastAsia" w:ascii="Times New Roman" w:hAnsi="Times New Roman" w:eastAsia="仿宋_GB2312" w:cs="仿宋_GB2312"/>
          <w:caps w:val="0"/>
          <w:kern w:val="21"/>
          <w:sz w:val="32"/>
          <w:szCs w:val="32"/>
        </w:rPr>
        <w:t>牢固树立“绿水青山就是金山银山”的理念，坚持绿色发展，深入实施可持续发展战略，大力发展低碳循环经济，深入推进污</w:t>
      </w:r>
      <w:r>
        <w:rPr>
          <w:rFonts w:hint="eastAsia" w:ascii="Times New Roman" w:hAnsi="Times New Roman" w:eastAsia="仿宋_GB2312" w:cs="仿宋_GB2312"/>
          <w:caps w:val="0"/>
          <w:spacing w:val="-6"/>
          <w:kern w:val="21"/>
          <w:sz w:val="32"/>
          <w:szCs w:val="32"/>
        </w:rPr>
        <w:t>染防治攻坚，全面美化大湾区北部生态花园，积极创建国家生态文明建设示范区，促进经济社会发展全面绿色转型，打造生态花都。</w:t>
      </w:r>
    </w:p>
    <w:p>
      <w:pPr>
        <w:pStyle w:val="4"/>
        <w:keepNext/>
        <w:keepLines/>
        <w:widowControl w:val="0"/>
        <w:wordWrap/>
        <w:adjustRightInd/>
        <w:snapToGrid/>
        <w:spacing w:beforeLines="50" w:afterLines="50" w:line="592" w:lineRule="exact"/>
        <w:ind w:firstLine="632" w:firstLineChars="200"/>
        <w:jc w:val="both"/>
        <w:textAlignment w:val="auto"/>
        <w:rPr>
          <w:rFonts w:hint="eastAsia" w:ascii="Times New Roman" w:hAnsi="Times New Roman" w:eastAsia="楷体_GB2312" w:cs="楷体_GB2312"/>
          <w:b w:val="0"/>
          <w:bCs w:val="0"/>
          <w:caps w:val="0"/>
          <w:kern w:val="21"/>
          <w:sz w:val="32"/>
          <w:szCs w:val="32"/>
        </w:rPr>
      </w:pPr>
      <w:bookmarkStart w:id="33" w:name="_Toc88053809"/>
      <w:r>
        <w:rPr>
          <w:rFonts w:hint="default" w:ascii="Times New Roman" w:hAnsi="Times New Roman" w:eastAsia="楷体_GB2312" w:cs="Times New Roman"/>
          <w:b w:val="0"/>
          <w:bCs w:val="0"/>
          <w:caps w:val="0"/>
          <w:kern w:val="21"/>
          <w:sz w:val="32"/>
          <w:szCs w:val="32"/>
        </w:rPr>
        <w:t>4.2</w:t>
      </w:r>
      <w:r>
        <w:rPr>
          <w:rFonts w:hint="eastAsia" w:ascii="Times New Roman" w:hAnsi="Times New Roman" w:eastAsia="楷体_GB2312" w:cs="楷体_GB2312"/>
          <w:b w:val="0"/>
          <w:bCs w:val="0"/>
          <w:caps w:val="0"/>
          <w:kern w:val="21"/>
          <w:sz w:val="32"/>
          <w:szCs w:val="32"/>
        </w:rPr>
        <w:t>阶段目标</w:t>
      </w:r>
      <w:bookmarkEnd w:id="33"/>
    </w:p>
    <w:p>
      <w:pPr>
        <w:widowControl w:val="0"/>
        <w:wordWrap/>
        <w:adjustRightInd/>
        <w:snapToGrid/>
        <w:spacing w:line="592" w:lineRule="exact"/>
        <w:ind w:firstLine="632" w:firstLineChars="200"/>
        <w:jc w:val="both"/>
        <w:textAlignment w:val="auto"/>
        <w:rPr>
          <w:rFonts w:hint="eastAsia" w:ascii="Times New Roman" w:hAnsi="Times New Roman" w:eastAsia="仿宋_GB2312" w:cs="仿宋_GB2312"/>
          <w:caps w:val="0"/>
          <w:kern w:val="21"/>
          <w:sz w:val="32"/>
          <w:szCs w:val="32"/>
        </w:rPr>
      </w:pPr>
      <w:r>
        <w:rPr>
          <w:rFonts w:ascii="Times New Roman" w:hAnsi="Times New Roman"/>
          <w:caps w:val="0"/>
          <w:kern w:val="21"/>
          <w:sz w:val="32"/>
          <w:szCs w:val="32"/>
        </w:rPr>
        <w:t>近期（2021</w:t>
      </w:r>
      <w:r>
        <w:rPr>
          <w:rFonts w:hint="eastAsia"/>
          <w:caps w:val="0"/>
          <w:kern w:val="21"/>
          <w:sz w:val="32"/>
          <w:szCs w:val="32"/>
          <w:lang w:eastAsia="zh-CN"/>
        </w:rPr>
        <w:t>年—</w:t>
      </w:r>
      <w:r>
        <w:rPr>
          <w:rFonts w:ascii="Times New Roman" w:hAnsi="Times New Roman"/>
          <w:caps w:val="0"/>
          <w:kern w:val="21"/>
          <w:sz w:val="32"/>
          <w:szCs w:val="32"/>
        </w:rPr>
        <w:t>2025年）单位GDP</w:t>
      </w:r>
      <w:r>
        <w:rPr>
          <w:rFonts w:hint="eastAsia" w:ascii="Times New Roman" w:hAnsi="Times New Roman" w:eastAsia="仿宋_GB2312" w:cs="仿宋_GB2312"/>
          <w:caps w:val="0"/>
          <w:kern w:val="21"/>
          <w:sz w:val="32"/>
          <w:szCs w:val="32"/>
        </w:rPr>
        <w:t>水耗、能耗得到进一步控制，绿色低碳的生产方式、生活方式总体形成；“三线一单”得到贯彻落实，生态安全保障和生态系统服务功能进一步提升；环境质量持续改善，流溪河、白坭河一级支流劣于</w:t>
      </w:r>
      <w:r>
        <w:rPr>
          <w:rFonts w:ascii="Times New Roman" w:hAnsi="Times New Roman"/>
          <w:caps w:val="0"/>
          <w:kern w:val="21"/>
          <w:sz w:val="32"/>
          <w:szCs w:val="32"/>
        </w:rPr>
        <w:t>Ⅴ</w:t>
      </w:r>
      <w:r>
        <w:rPr>
          <w:rFonts w:hint="eastAsia" w:ascii="Times New Roman" w:hAnsi="Times New Roman" w:eastAsia="仿宋_GB2312" w:cs="仿宋_GB2312"/>
          <w:caps w:val="0"/>
          <w:kern w:val="21"/>
          <w:sz w:val="32"/>
          <w:szCs w:val="32"/>
        </w:rPr>
        <w:t>类水体全面消除，城市空气质量优良天数保持稳定；污水、垃圾、危废处理等环境公共服务覆盖到所有行政村；环境风险得到全面管控；推进生态环境治理体系和治理能力现代化</w:t>
      </w:r>
      <w:r>
        <w:rPr>
          <w:rFonts w:hint="eastAsia" w:ascii="Times New Roman" w:hAnsi="Times New Roman" w:cs="仿宋_GB2312"/>
          <w:caps w:val="0"/>
          <w:kern w:val="21"/>
          <w:sz w:val="32"/>
          <w:szCs w:val="32"/>
          <w:lang w:eastAsia="zh-CN"/>
        </w:rPr>
        <w:t>建设</w:t>
      </w:r>
      <w:r>
        <w:rPr>
          <w:rFonts w:hint="eastAsia" w:ascii="Times New Roman" w:hAnsi="Times New Roman" w:eastAsia="仿宋_GB2312" w:cs="仿宋_GB2312"/>
          <w:caps w:val="0"/>
          <w:kern w:val="21"/>
          <w:sz w:val="32"/>
          <w:szCs w:val="32"/>
        </w:rPr>
        <w:t>。加快推动花都生态文明建设实现新进步，塑造生态文明新优势，为建设“绿色宜居花都”提供坚实的生态环境支撑。</w:t>
      </w:r>
    </w:p>
    <w:p>
      <w:pPr>
        <w:widowControl w:val="0"/>
        <w:wordWrap/>
        <w:adjustRightInd/>
        <w:snapToGrid/>
        <w:spacing w:line="592" w:lineRule="exact"/>
        <w:ind w:firstLine="632" w:firstLineChars="200"/>
        <w:jc w:val="both"/>
        <w:textAlignment w:val="auto"/>
        <w:rPr>
          <w:rFonts w:ascii="Times New Roman" w:hAnsi="Times New Roman"/>
          <w:caps w:val="0"/>
          <w:kern w:val="21"/>
          <w:sz w:val="32"/>
          <w:szCs w:val="32"/>
        </w:rPr>
      </w:pPr>
      <w:r>
        <w:rPr>
          <w:rFonts w:ascii="Times New Roman" w:hAnsi="Times New Roman"/>
          <w:caps w:val="0"/>
          <w:kern w:val="21"/>
          <w:sz w:val="32"/>
          <w:szCs w:val="32"/>
        </w:rPr>
        <w:t>远期（2026</w:t>
      </w:r>
      <w:r>
        <w:rPr>
          <w:rFonts w:hint="eastAsia"/>
          <w:caps w:val="0"/>
          <w:kern w:val="21"/>
          <w:sz w:val="32"/>
          <w:szCs w:val="32"/>
          <w:lang w:eastAsia="zh-CN"/>
        </w:rPr>
        <w:t>年—</w:t>
      </w:r>
      <w:r>
        <w:rPr>
          <w:rFonts w:ascii="Times New Roman" w:hAnsi="Times New Roman"/>
          <w:caps w:val="0"/>
          <w:kern w:val="21"/>
          <w:sz w:val="32"/>
          <w:szCs w:val="32"/>
        </w:rPr>
        <w:t>2030年）人与人、人与自然和谐共生格局和绿色生产生活方式基本形成，应对气候变化能力显著增强，生态环境全面改善，土壤环境安全得到有效保障，形成与高质量发展相适应的国土空间格局，基本满足人民</w:t>
      </w:r>
      <w:r>
        <w:rPr>
          <w:rFonts w:hint="eastAsia"/>
          <w:caps w:val="0"/>
          <w:kern w:val="21"/>
          <w:sz w:val="32"/>
          <w:szCs w:val="32"/>
          <w:lang w:eastAsia="zh-CN"/>
        </w:rPr>
        <w:t>群众</w:t>
      </w:r>
      <w:r>
        <w:rPr>
          <w:rFonts w:ascii="Times New Roman" w:hAnsi="Times New Roman"/>
          <w:caps w:val="0"/>
          <w:kern w:val="21"/>
          <w:sz w:val="32"/>
          <w:szCs w:val="32"/>
        </w:rPr>
        <w:t>对优美生态环境的</w:t>
      </w:r>
      <w:r>
        <w:rPr>
          <w:rFonts w:hint="eastAsia"/>
          <w:caps w:val="0"/>
          <w:kern w:val="21"/>
          <w:sz w:val="32"/>
          <w:szCs w:val="32"/>
          <w:lang w:eastAsia="zh-CN"/>
        </w:rPr>
        <w:t>需求</w:t>
      </w:r>
      <w:r>
        <w:rPr>
          <w:rFonts w:ascii="Times New Roman" w:hAnsi="Times New Roman"/>
          <w:caps w:val="0"/>
          <w:kern w:val="21"/>
          <w:sz w:val="32"/>
          <w:szCs w:val="32"/>
        </w:rPr>
        <w:t>，生态环境保护管理制度健全高效，生态环境治理体系和治理能力现代化基本实现。</w:t>
      </w:r>
    </w:p>
    <w:p>
      <w:pPr>
        <w:pStyle w:val="4"/>
        <w:keepNext/>
        <w:keepLines/>
        <w:widowControl w:val="0"/>
        <w:wordWrap/>
        <w:adjustRightInd/>
        <w:snapToGrid/>
        <w:spacing w:beforeLines="50" w:afterLines="50" w:line="240" w:lineRule="auto"/>
        <w:ind w:firstLine="632" w:firstLineChars="200"/>
        <w:jc w:val="both"/>
        <w:textAlignment w:val="auto"/>
        <w:rPr>
          <w:rFonts w:hint="eastAsia" w:ascii="Times New Roman" w:hAnsi="Times New Roman" w:eastAsia="楷体_GB2312" w:cs="楷体_GB2312"/>
          <w:b w:val="0"/>
          <w:bCs w:val="0"/>
          <w:caps w:val="0"/>
          <w:kern w:val="21"/>
          <w:sz w:val="32"/>
          <w:szCs w:val="32"/>
        </w:rPr>
      </w:pPr>
      <w:bookmarkStart w:id="34" w:name="_Toc88053810"/>
      <w:r>
        <w:rPr>
          <w:rFonts w:hint="default" w:ascii="Times New Roman" w:hAnsi="Times New Roman" w:eastAsia="楷体_GB2312" w:cs="Times New Roman"/>
          <w:b w:val="0"/>
          <w:bCs w:val="0"/>
          <w:caps w:val="0"/>
          <w:kern w:val="21"/>
          <w:sz w:val="32"/>
          <w:szCs w:val="32"/>
        </w:rPr>
        <w:t>4.3</w:t>
      </w:r>
      <w:r>
        <w:rPr>
          <w:rFonts w:hint="eastAsia" w:ascii="Times New Roman" w:hAnsi="Times New Roman" w:eastAsia="楷体_GB2312" w:cs="楷体_GB2312"/>
          <w:b w:val="0"/>
          <w:bCs w:val="0"/>
          <w:caps w:val="0"/>
          <w:kern w:val="21"/>
          <w:sz w:val="32"/>
          <w:szCs w:val="32"/>
        </w:rPr>
        <w:t>规划指标</w:t>
      </w:r>
      <w:bookmarkEnd w:id="34"/>
    </w:p>
    <w:p>
      <w:pPr>
        <w:widowControl w:val="0"/>
        <w:wordWrap/>
        <w:adjustRightInd/>
        <w:snapToGrid/>
        <w:spacing w:line="240" w:lineRule="auto"/>
        <w:ind w:firstLine="632" w:firstLineChars="200"/>
        <w:jc w:val="both"/>
        <w:textAlignment w:val="auto"/>
        <w:rPr>
          <w:rFonts w:ascii="Times New Roman" w:hAnsi="Times New Roman"/>
          <w:caps w:val="0"/>
          <w:sz w:val="24"/>
        </w:rPr>
      </w:pPr>
      <w:r>
        <w:rPr>
          <w:rFonts w:ascii="Times New Roman" w:hAnsi="Times New Roman"/>
          <w:caps w:val="0"/>
          <w:kern w:val="21"/>
          <w:sz w:val="32"/>
          <w:szCs w:val="32"/>
        </w:rPr>
        <w:t>花都区环境保护规划指标体系主要包括绿色低碳、环境治理、生态保护、风险防控等方面。具体指标见表4.3</w:t>
      </w:r>
      <w:r>
        <w:rPr>
          <w:rFonts w:hint="eastAsia" w:ascii="Times New Roman" w:hAnsi="Times New Roman" w:eastAsia="仿宋_GB2312" w:cs="仿宋_GB2312"/>
          <w:caps w:val="0"/>
          <w:kern w:val="21"/>
          <w:sz w:val="32"/>
          <w:szCs w:val="32"/>
        </w:rPr>
        <w:t>-</w:t>
      </w:r>
      <w:r>
        <w:rPr>
          <w:rFonts w:ascii="Times New Roman" w:hAnsi="Times New Roman"/>
          <w:caps w:val="0"/>
          <w:kern w:val="21"/>
          <w:sz w:val="32"/>
          <w:szCs w:val="32"/>
        </w:rPr>
        <w:t>1。</w:t>
      </w:r>
    </w:p>
    <w:p>
      <w:pPr>
        <w:spacing w:line="360" w:lineRule="auto"/>
        <w:ind w:firstLine="632" w:firstLineChars="200"/>
        <w:jc w:val="center"/>
        <w:rPr>
          <w:rFonts w:hint="eastAsia" w:ascii="Times New Roman" w:hAnsi="Times New Roman" w:eastAsia="黑体" w:cs="黑体"/>
          <w:b w:val="0"/>
          <w:bCs w:val="0"/>
          <w:caps w:val="0"/>
          <w:sz w:val="32"/>
          <w:szCs w:val="32"/>
        </w:rPr>
      </w:pPr>
      <w:r>
        <w:rPr>
          <w:rFonts w:hint="eastAsia" w:ascii="Times New Roman" w:hAnsi="Times New Roman" w:eastAsia="黑体" w:cs="黑体"/>
          <w:b w:val="0"/>
          <w:bCs w:val="0"/>
          <w:caps w:val="0"/>
          <w:snapToGrid w:val="0"/>
          <w:kern w:val="0"/>
          <w:sz w:val="32"/>
          <w:szCs w:val="32"/>
        </w:rPr>
        <w:t xml:space="preserve">表4.3-1 </w:t>
      </w:r>
      <w:r>
        <w:rPr>
          <w:rFonts w:hint="eastAsia" w:ascii="Times New Roman" w:hAnsi="Times New Roman" w:eastAsia="黑体" w:cs="黑体"/>
          <w:b w:val="0"/>
          <w:bCs w:val="0"/>
          <w:caps w:val="0"/>
          <w:snapToGrid w:val="0"/>
          <w:kern w:val="0"/>
          <w:sz w:val="32"/>
          <w:szCs w:val="32"/>
          <w:lang w:val="en-US" w:eastAsia="zh-CN"/>
        </w:rPr>
        <w:t xml:space="preserve"> </w:t>
      </w:r>
      <w:r>
        <w:rPr>
          <w:rFonts w:hint="eastAsia" w:ascii="Times New Roman" w:hAnsi="Times New Roman" w:eastAsia="黑体" w:cs="黑体"/>
          <w:b w:val="0"/>
          <w:bCs w:val="0"/>
          <w:caps w:val="0"/>
          <w:snapToGrid w:val="0"/>
          <w:kern w:val="0"/>
          <w:sz w:val="32"/>
          <w:szCs w:val="32"/>
        </w:rPr>
        <w:t>花都区生态环境保护与生态建设主要指标</w:t>
      </w:r>
    </w:p>
    <w:tbl>
      <w:tblPr>
        <w:tblStyle w:val="20"/>
        <w:tblW w:w="904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4"/>
        <w:gridCol w:w="518"/>
        <w:gridCol w:w="1834"/>
        <w:gridCol w:w="860"/>
        <w:gridCol w:w="1345"/>
        <w:gridCol w:w="1345"/>
        <w:gridCol w:w="1350"/>
        <w:gridCol w:w="10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tblHeader/>
          <w:jc w:val="center"/>
        </w:trPr>
        <w:tc>
          <w:tcPr>
            <w:tcW w:w="764"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Times New Roman" w:hAnsi="Times New Roman" w:eastAsia="黑体" w:cs="黑体"/>
                <w:b w:val="0"/>
                <w:bCs w:val="0"/>
                <w:caps w:val="0"/>
                <w:kern w:val="0"/>
                <w:sz w:val="24"/>
                <w:szCs w:val="24"/>
              </w:rPr>
            </w:pPr>
            <w:r>
              <w:rPr>
                <w:rFonts w:hint="eastAsia" w:ascii="Times New Roman" w:hAnsi="Times New Roman" w:eastAsia="黑体" w:cs="黑体"/>
                <w:b w:val="0"/>
                <w:bCs w:val="0"/>
                <w:caps w:val="0"/>
                <w:kern w:val="0"/>
                <w:sz w:val="24"/>
                <w:szCs w:val="24"/>
              </w:rPr>
              <w:t>目标类型</w:t>
            </w:r>
          </w:p>
        </w:tc>
        <w:tc>
          <w:tcPr>
            <w:tcW w:w="518"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Times New Roman" w:hAnsi="Times New Roman" w:eastAsia="黑体" w:cs="黑体"/>
                <w:b w:val="0"/>
                <w:bCs w:val="0"/>
                <w:caps w:val="0"/>
                <w:kern w:val="0"/>
                <w:sz w:val="24"/>
                <w:szCs w:val="24"/>
              </w:rPr>
            </w:pPr>
            <w:r>
              <w:rPr>
                <w:rFonts w:hint="eastAsia" w:ascii="Times New Roman" w:hAnsi="Times New Roman" w:eastAsia="黑体" w:cs="黑体"/>
                <w:b w:val="0"/>
                <w:bCs w:val="0"/>
                <w:caps w:val="0"/>
                <w:kern w:val="0"/>
                <w:sz w:val="24"/>
                <w:szCs w:val="24"/>
              </w:rPr>
              <w:t>序号</w:t>
            </w:r>
          </w:p>
        </w:tc>
        <w:tc>
          <w:tcPr>
            <w:tcW w:w="1834"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Times New Roman" w:hAnsi="Times New Roman" w:eastAsia="黑体" w:cs="黑体"/>
                <w:b w:val="0"/>
                <w:bCs w:val="0"/>
                <w:caps w:val="0"/>
                <w:kern w:val="0"/>
                <w:sz w:val="24"/>
                <w:szCs w:val="24"/>
              </w:rPr>
            </w:pPr>
            <w:r>
              <w:rPr>
                <w:rFonts w:hint="eastAsia" w:ascii="Times New Roman" w:hAnsi="Times New Roman" w:eastAsia="黑体" w:cs="黑体"/>
                <w:b w:val="0"/>
                <w:bCs w:val="0"/>
                <w:caps w:val="0"/>
                <w:kern w:val="0"/>
                <w:sz w:val="24"/>
                <w:szCs w:val="24"/>
              </w:rPr>
              <w:t>指标名称</w:t>
            </w:r>
          </w:p>
        </w:tc>
        <w:tc>
          <w:tcPr>
            <w:tcW w:w="860"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Times New Roman" w:hAnsi="Times New Roman" w:eastAsia="黑体" w:cs="黑体"/>
                <w:b w:val="0"/>
                <w:bCs w:val="0"/>
                <w:caps w:val="0"/>
                <w:kern w:val="0"/>
                <w:sz w:val="24"/>
                <w:szCs w:val="24"/>
              </w:rPr>
            </w:pPr>
            <w:r>
              <w:rPr>
                <w:rFonts w:hint="eastAsia" w:ascii="Times New Roman" w:hAnsi="Times New Roman" w:eastAsia="黑体" w:cs="黑体"/>
                <w:b w:val="0"/>
                <w:bCs w:val="0"/>
                <w:caps w:val="0"/>
                <w:kern w:val="0"/>
                <w:sz w:val="24"/>
                <w:szCs w:val="24"/>
              </w:rPr>
              <w:t>单位</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Times New Roman" w:hAnsi="Times New Roman" w:eastAsia="黑体" w:cs="黑体"/>
                <w:b w:val="0"/>
                <w:bCs w:val="0"/>
                <w:caps w:val="0"/>
                <w:kern w:val="0"/>
                <w:sz w:val="24"/>
                <w:szCs w:val="24"/>
              </w:rPr>
            </w:pPr>
            <w:r>
              <w:rPr>
                <w:rFonts w:hint="eastAsia" w:ascii="Times New Roman" w:hAnsi="Times New Roman" w:eastAsia="黑体" w:cs="黑体"/>
                <w:b w:val="0"/>
                <w:bCs w:val="0"/>
                <w:caps w:val="0"/>
                <w:kern w:val="0"/>
                <w:sz w:val="24"/>
                <w:szCs w:val="24"/>
              </w:rPr>
              <w:t>现状值</w:t>
            </w:r>
          </w:p>
          <w:p>
            <w:pPr>
              <w:widowControl/>
              <w:snapToGrid w:val="0"/>
              <w:jc w:val="center"/>
              <w:rPr>
                <w:rFonts w:hint="eastAsia" w:ascii="Times New Roman" w:hAnsi="Times New Roman" w:eastAsia="黑体" w:cs="黑体"/>
                <w:b w:val="0"/>
                <w:bCs w:val="0"/>
                <w:caps w:val="0"/>
                <w:kern w:val="0"/>
                <w:sz w:val="24"/>
                <w:szCs w:val="24"/>
              </w:rPr>
            </w:pPr>
            <w:r>
              <w:rPr>
                <w:rFonts w:hint="eastAsia" w:ascii="Times New Roman" w:hAnsi="Times New Roman" w:eastAsia="黑体" w:cs="黑体"/>
                <w:b w:val="0"/>
                <w:bCs w:val="0"/>
                <w:caps w:val="0"/>
                <w:kern w:val="0"/>
                <w:sz w:val="24"/>
                <w:szCs w:val="24"/>
              </w:rPr>
              <w:t>（2020年）</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Times New Roman" w:hAnsi="Times New Roman" w:eastAsia="黑体" w:cs="黑体"/>
                <w:b w:val="0"/>
                <w:bCs w:val="0"/>
                <w:caps w:val="0"/>
                <w:kern w:val="0"/>
                <w:sz w:val="24"/>
                <w:szCs w:val="24"/>
              </w:rPr>
            </w:pPr>
            <w:r>
              <w:rPr>
                <w:rFonts w:hint="eastAsia" w:ascii="Times New Roman" w:hAnsi="Times New Roman" w:eastAsia="黑体" w:cs="黑体"/>
                <w:b w:val="0"/>
                <w:bCs w:val="0"/>
                <w:caps w:val="0"/>
                <w:kern w:val="0"/>
                <w:sz w:val="24"/>
                <w:szCs w:val="24"/>
              </w:rPr>
              <w:t>规划值</w:t>
            </w:r>
          </w:p>
          <w:p>
            <w:pPr>
              <w:widowControl/>
              <w:snapToGrid w:val="0"/>
              <w:jc w:val="center"/>
              <w:rPr>
                <w:rFonts w:hint="eastAsia" w:ascii="Times New Roman" w:hAnsi="Times New Roman" w:eastAsia="黑体" w:cs="黑体"/>
                <w:b w:val="0"/>
                <w:bCs w:val="0"/>
                <w:caps w:val="0"/>
                <w:kern w:val="0"/>
                <w:sz w:val="24"/>
                <w:szCs w:val="24"/>
              </w:rPr>
            </w:pPr>
            <w:r>
              <w:rPr>
                <w:rFonts w:hint="eastAsia" w:ascii="Times New Roman" w:hAnsi="Times New Roman" w:eastAsia="黑体" w:cs="黑体"/>
                <w:b w:val="0"/>
                <w:bCs w:val="0"/>
                <w:caps w:val="0"/>
                <w:kern w:val="0"/>
                <w:sz w:val="24"/>
                <w:szCs w:val="24"/>
              </w:rPr>
              <w:t>（2025年）</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Times New Roman" w:hAnsi="Times New Roman" w:eastAsia="黑体" w:cs="黑体"/>
                <w:b w:val="0"/>
                <w:bCs w:val="0"/>
                <w:caps w:val="0"/>
                <w:kern w:val="0"/>
                <w:sz w:val="24"/>
                <w:szCs w:val="24"/>
              </w:rPr>
            </w:pPr>
            <w:r>
              <w:rPr>
                <w:rFonts w:hint="eastAsia" w:ascii="Times New Roman" w:hAnsi="Times New Roman" w:eastAsia="黑体" w:cs="黑体"/>
                <w:b w:val="0"/>
                <w:bCs w:val="0"/>
                <w:caps w:val="0"/>
                <w:kern w:val="0"/>
                <w:sz w:val="24"/>
                <w:szCs w:val="24"/>
              </w:rPr>
              <w:t>规划值</w:t>
            </w:r>
          </w:p>
          <w:p>
            <w:pPr>
              <w:widowControl/>
              <w:snapToGrid w:val="0"/>
              <w:jc w:val="center"/>
              <w:rPr>
                <w:rFonts w:hint="eastAsia" w:ascii="Times New Roman" w:hAnsi="Times New Roman" w:eastAsia="黑体" w:cs="黑体"/>
                <w:b w:val="0"/>
                <w:bCs w:val="0"/>
                <w:caps w:val="0"/>
                <w:kern w:val="0"/>
                <w:sz w:val="24"/>
                <w:szCs w:val="24"/>
              </w:rPr>
            </w:pPr>
            <w:r>
              <w:rPr>
                <w:rFonts w:hint="eastAsia" w:ascii="Times New Roman" w:hAnsi="Times New Roman" w:eastAsia="黑体" w:cs="黑体"/>
                <w:b w:val="0"/>
                <w:bCs w:val="0"/>
                <w:caps w:val="0"/>
                <w:kern w:val="0"/>
                <w:sz w:val="24"/>
                <w:szCs w:val="24"/>
              </w:rPr>
              <w:t>（2030年）</w:t>
            </w:r>
          </w:p>
        </w:tc>
        <w:tc>
          <w:tcPr>
            <w:tcW w:w="103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Times New Roman" w:hAnsi="Times New Roman" w:eastAsia="黑体" w:cs="黑体"/>
                <w:b w:val="0"/>
                <w:bCs w:val="0"/>
                <w:caps w:val="0"/>
                <w:kern w:val="0"/>
                <w:sz w:val="24"/>
                <w:szCs w:val="24"/>
              </w:rPr>
            </w:pPr>
            <w:r>
              <w:rPr>
                <w:rFonts w:hint="eastAsia" w:ascii="Times New Roman" w:hAnsi="Times New Roman" w:eastAsia="黑体" w:cs="黑体"/>
                <w:b w:val="0"/>
                <w:bCs w:val="0"/>
                <w:caps w:val="0"/>
                <w:kern w:val="0"/>
                <w:sz w:val="24"/>
                <w:szCs w:val="24"/>
              </w:rPr>
              <w:t>指标</w:t>
            </w:r>
          </w:p>
          <w:p>
            <w:pPr>
              <w:widowControl/>
              <w:snapToGrid w:val="0"/>
              <w:jc w:val="center"/>
              <w:rPr>
                <w:rFonts w:hint="eastAsia" w:ascii="Times New Roman" w:hAnsi="Times New Roman" w:eastAsia="黑体" w:cs="黑体"/>
                <w:b w:val="0"/>
                <w:bCs w:val="0"/>
                <w:caps w:val="0"/>
                <w:kern w:val="0"/>
                <w:sz w:val="24"/>
                <w:szCs w:val="24"/>
              </w:rPr>
            </w:pPr>
            <w:r>
              <w:rPr>
                <w:rFonts w:hint="eastAsia" w:ascii="Times New Roman" w:hAnsi="Times New Roman" w:eastAsia="黑体" w:cs="黑体"/>
                <w:b w:val="0"/>
                <w:bCs w:val="0"/>
                <w:caps w:val="0"/>
                <w:kern w:val="0"/>
                <w:sz w:val="24"/>
                <w:szCs w:val="24"/>
              </w:rPr>
              <w:t>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764"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Times New Roman" w:hAnsi="Times New Roman" w:eastAsia="黑体" w:cs="黑体"/>
                <w:caps w:val="0"/>
                <w:kern w:val="0"/>
                <w:sz w:val="21"/>
                <w:szCs w:val="21"/>
              </w:rPr>
            </w:pPr>
            <w:r>
              <w:rPr>
                <w:rFonts w:hint="eastAsia" w:ascii="Times New Roman" w:hAnsi="Times New Roman" w:eastAsia="黑体" w:cs="黑体"/>
                <w:caps w:val="0"/>
                <w:kern w:val="0"/>
                <w:sz w:val="21"/>
                <w:szCs w:val="21"/>
              </w:rPr>
              <w:t>绿色低碳</w:t>
            </w:r>
          </w:p>
        </w:tc>
        <w:tc>
          <w:tcPr>
            <w:tcW w:w="518"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1</w:t>
            </w:r>
          </w:p>
        </w:tc>
        <w:tc>
          <w:tcPr>
            <w:tcW w:w="1834"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单位地区生产总值能耗累计下降</w:t>
            </w:r>
          </w:p>
        </w:tc>
        <w:tc>
          <w:tcPr>
            <w:tcW w:w="86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hint="eastAsia" w:ascii="Times New Roman" w:hAnsi="Times New Roman" w:eastAsia="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完成市下达目标</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完成市下达目标</w:t>
            </w:r>
          </w:p>
        </w:tc>
        <w:tc>
          <w:tcPr>
            <w:tcW w:w="1031"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约束性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Times New Roman" w:hAnsi="Times New Roman" w:eastAsia="黑体" w:cs="黑体"/>
                <w:caps w:val="0"/>
                <w:kern w:val="0"/>
                <w:sz w:val="21"/>
                <w:szCs w:val="21"/>
              </w:rPr>
            </w:pPr>
          </w:p>
        </w:tc>
        <w:tc>
          <w:tcPr>
            <w:tcW w:w="518"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2</w:t>
            </w:r>
          </w:p>
        </w:tc>
        <w:tc>
          <w:tcPr>
            <w:tcW w:w="1834"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单位地区生产总值用水量</w:t>
            </w:r>
          </w:p>
        </w:tc>
        <w:tc>
          <w:tcPr>
            <w:tcW w:w="86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立方米/万元</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28.7</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30</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27</w:t>
            </w:r>
          </w:p>
        </w:tc>
        <w:tc>
          <w:tcPr>
            <w:tcW w:w="1031"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hint="eastAsia" w:ascii="Times New Roman" w:hAnsi="Times New Roman" w:eastAsia="黑体" w:cs="黑体"/>
                <w:caps w:val="0"/>
                <w:kern w:val="0"/>
                <w:sz w:val="21"/>
                <w:szCs w:val="21"/>
              </w:rPr>
            </w:pPr>
          </w:p>
        </w:tc>
        <w:tc>
          <w:tcPr>
            <w:tcW w:w="518"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3</w:t>
            </w:r>
          </w:p>
        </w:tc>
        <w:tc>
          <w:tcPr>
            <w:tcW w:w="1834"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生活垃圾回收利用率</w:t>
            </w:r>
          </w:p>
        </w:tc>
        <w:tc>
          <w:tcPr>
            <w:tcW w:w="86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hint="eastAsia" w:ascii="Times New Roman" w:hAnsi="Times New Roman" w:eastAsia="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42.8</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45</w:t>
            </w:r>
          </w:p>
        </w:tc>
        <w:tc>
          <w:tcPr>
            <w:tcW w:w="1031"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hint="eastAsia" w:ascii="Times New Roman" w:hAnsi="Times New Roman" w:eastAsia="黑体" w:cs="黑体"/>
                <w:caps w:val="0"/>
                <w:kern w:val="0"/>
                <w:sz w:val="21"/>
                <w:szCs w:val="21"/>
              </w:rPr>
            </w:pPr>
          </w:p>
        </w:tc>
        <w:tc>
          <w:tcPr>
            <w:tcW w:w="518"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4</w:t>
            </w:r>
          </w:p>
        </w:tc>
        <w:tc>
          <w:tcPr>
            <w:tcW w:w="1834"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一般工业固体废物综合利用率</w:t>
            </w:r>
          </w:p>
        </w:tc>
        <w:tc>
          <w:tcPr>
            <w:tcW w:w="86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hint="eastAsia" w:ascii="Times New Roman" w:hAnsi="Times New Roman" w:eastAsia="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≥99.5</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≥99.5</w:t>
            </w:r>
          </w:p>
        </w:tc>
        <w:tc>
          <w:tcPr>
            <w:tcW w:w="1031"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764"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Times New Roman" w:hAnsi="Times New Roman" w:eastAsia="黑体" w:cs="黑体"/>
                <w:caps w:val="0"/>
                <w:kern w:val="0"/>
                <w:sz w:val="21"/>
                <w:szCs w:val="21"/>
              </w:rPr>
            </w:pPr>
            <w:r>
              <w:rPr>
                <w:rFonts w:hint="eastAsia" w:ascii="Times New Roman" w:hAnsi="Times New Roman" w:eastAsia="黑体" w:cs="黑体"/>
                <w:caps w:val="0"/>
                <w:kern w:val="0"/>
                <w:sz w:val="21"/>
                <w:szCs w:val="21"/>
              </w:rPr>
              <w:t>环境治理</w:t>
            </w:r>
          </w:p>
        </w:tc>
        <w:tc>
          <w:tcPr>
            <w:tcW w:w="518"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5</w:t>
            </w:r>
          </w:p>
        </w:tc>
        <w:tc>
          <w:tcPr>
            <w:tcW w:w="1834"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textAlignment w:val="auto"/>
              <w:rPr>
                <w:rFonts w:ascii="Times New Roman" w:hAnsi="Times New Roman" w:eastAsia="宋体"/>
                <w:caps w:val="0"/>
                <w:kern w:val="21"/>
                <w:sz w:val="21"/>
                <w:szCs w:val="21"/>
              </w:rPr>
            </w:pPr>
            <w:bookmarkStart w:id="35" w:name="_Hlk68100257"/>
            <w:r>
              <w:rPr>
                <w:rFonts w:ascii="Times New Roman" w:hAnsi="Times New Roman" w:eastAsia="宋体"/>
                <w:caps w:val="0"/>
                <w:kern w:val="21"/>
                <w:sz w:val="21"/>
                <w:szCs w:val="21"/>
              </w:rPr>
              <w:t>地表水达到或好于Ⅲ类水体比例</w:t>
            </w:r>
            <w:bookmarkEnd w:id="35"/>
          </w:p>
        </w:tc>
        <w:tc>
          <w:tcPr>
            <w:tcW w:w="86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100</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完成市下达目标</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完成市下达目标</w:t>
            </w:r>
          </w:p>
        </w:tc>
        <w:tc>
          <w:tcPr>
            <w:tcW w:w="1031"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约束性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hint="eastAsia" w:ascii="Times New Roman" w:hAnsi="Times New Roman" w:eastAsia="黑体" w:cs="黑体"/>
                <w:caps w:val="0"/>
                <w:kern w:val="0"/>
                <w:sz w:val="21"/>
                <w:szCs w:val="21"/>
              </w:rPr>
            </w:pPr>
          </w:p>
        </w:tc>
        <w:tc>
          <w:tcPr>
            <w:tcW w:w="518"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6</w:t>
            </w:r>
          </w:p>
        </w:tc>
        <w:tc>
          <w:tcPr>
            <w:tcW w:w="1834"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城市集中式饮用水</w:t>
            </w:r>
            <w:r>
              <w:rPr>
                <w:rFonts w:hint="eastAsia" w:ascii="Times New Roman" w:hAnsi="Times New Roman" w:eastAsia="宋体"/>
                <w:caps w:val="0"/>
                <w:kern w:val="21"/>
                <w:sz w:val="21"/>
                <w:szCs w:val="21"/>
              </w:rPr>
              <w:t>水</w:t>
            </w:r>
            <w:r>
              <w:rPr>
                <w:rFonts w:ascii="Times New Roman" w:hAnsi="Times New Roman" w:eastAsia="宋体"/>
                <w:caps w:val="0"/>
                <w:kern w:val="21"/>
                <w:sz w:val="21"/>
                <w:szCs w:val="21"/>
              </w:rPr>
              <w:t>源水质达到或优于Ⅲ类比例</w:t>
            </w:r>
          </w:p>
        </w:tc>
        <w:tc>
          <w:tcPr>
            <w:tcW w:w="86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100</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100</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100</w:t>
            </w:r>
          </w:p>
        </w:tc>
        <w:tc>
          <w:tcPr>
            <w:tcW w:w="1031"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约束性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hint="eastAsia" w:ascii="Times New Roman" w:hAnsi="Times New Roman" w:eastAsia="黑体" w:cs="黑体"/>
                <w:caps w:val="0"/>
                <w:kern w:val="0"/>
                <w:sz w:val="21"/>
                <w:szCs w:val="21"/>
              </w:rPr>
            </w:pPr>
          </w:p>
        </w:tc>
        <w:tc>
          <w:tcPr>
            <w:tcW w:w="518"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7</w:t>
            </w:r>
          </w:p>
        </w:tc>
        <w:tc>
          <w:tcPr>
            <w:tcW w:w="1834"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空气质量优良天数比例</w:t>
            </w:r>
          </w:p>
        </w:tc>
        <w:tc>
          <w:tcPr>
            <w:tcW w:w="86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91.3</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≥88</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≥90</w:t>
            </w:r>
          </w:p>
        </w:tc>
        <w:tc>
          <w:tcPr>
            <w:tcW w:w="1031"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约束性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hint="eastAsia" w:ascii="Times New Roman" w:hAnsi="Times New Roman" w:eastAsia="黑体" w:cs="黑体"/>
                <w:caps w:val="0"/>
                <w:kern w:val="0"/>
                <w:sz w:val="21"/>
                <w:szCs w:val="21"/>
              </w:rPr>
            </w:pPr>
          </w:p>
        </w:tc>
        <w:tc>
          <w:tcPr>
            <w:tcW w:w="518"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8</w:t>
            </w:r>
          </w:p>
        </w:tc>
        <w:tc>
          <w:tcPr>
            <w:tcW w:w="1834"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细颗粒物（PM</w:t>
            </w:r>
            <w:r>
              <w:rPr>
                <w:rFonts w:ascii="Times New Roman" w:hAnsi="Times New Roman" w:eastAsia="宋体"/>
                <w:caps w:val="0"/>
                <w:kern w:val="21"/>
                <w:sz w:val="21"/>
                <w:szCs w:val="21"/>
                <w:vertAlign w:val="subscript"/>
              </w:rPr>
              <w:t>2.5</w:t>
            </w:r>
            <w:r>
              <w:rPr>
                <w:rFonts w:ascii="Times New Roman" w:hAnsi="Times New Roman" w:eastAsia="宋体"/>
                <w:caps w:val="0"/>
                <w:kern w:val="21"/>
                <w:sz w:val="21"/>
                <w:szCs w:val="21"/>
              </w:rPr>
              <w:t>）年均浓度</w:t>
            </w:r>
          </w:p>
        </w:tc>
        <w:tc>
          <w:tcPr>
            <w:tcW w:w="86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微克/立方米</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23</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≤27</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≤25</w:t>
            </w:r>
          </w:p>
        </w:tc>
        <w:tc>
          <w:tcPr>
            <w:tcW w:w="1031"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hint="eastAsia" w:ascii="Times New Roman" w:hAnsi="Times New Roman" w:eastAsia="黑体" w:cs="黑体"/>
                <w:caps w:val="0"/>
                <w:kern w:val="0"/>
                <w:sz w:val="21"/>
                <w:szCs w:val="21"/>
              </w:rPr>
            </w:pPr>
          </w:p>
        </w:tc>
        <w:tc>
          <w:tcPr>
            <w:tcW w:w="518"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9</w:t>
            </w:r>
          </w:p>
        </w:tc>
        <w:tc>
          <w:tcPr>
            <w:tcW w:w="1834"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城市声环境功能区夜间监测总点次达标率</w:t>
            </w:r>
          </w:p>
        </w:tc>
        <w:tc>
          <w:tcPr>
            <w:tcW w:w="86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hint="eastAsia" w:ascii="Times New Roman" w:hAnsi="Times New Roman" w:eastAsia="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≥80</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≥80</w:t>
            </w:r>
          </w:p>
        </w:tc>
        <w:tc>
          <w:tcPr>
            <w:tcW w:w="1031"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764"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Times New Roman" w:hAnsi="Times New Roman" w:eastAsia="黑体" w:cs="黑体"/>
                <w:caps w:val="0"/>
                <w:kern w:val="0"/>
                <w:sz w:val="21"/>
                <w:szCs w:val="21"/>
              </w:rPr>
            </w:pPr>
            <w:r>
              <w:rPr>
                <w:rFonts w:hint="eastAsia" w:ascii="Times New Roman" w:hAnsi="Times New Roman" w:eastAsia="黑体" w:cs="黑体"/>
                <w:caps w:val="0"/>
                <w:kern w:val="0"/>
                <w:sz w:val="21"/>
                <w:szCs w:val="21"/>
              </w:rPr>
              <w:t>环境治理</w:t>
            </w:r>
          </w:p>
        </w:tc>
        <w:tc>
          <w:tcPr>
            <w:tcW w:w="518"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10</w:t>
            </w:r>
          </w:p>
        </w:tc>
        <w:tc>
          <w:tcPr>
            <w:tcW w:w="1834"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地下水Ⅴ类水质比例</w:t>
            </w:r>
          </w:p>
        </w:tc>
        <w:tc>
          <w:tcPr>
            <w:tcW w:w="86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达到广州市下达目标</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达到广州市下达目标</w:t>
            </w:r>
          </w:p>
        </w:tc>
        <w:tc>
          <w:tcPr>
            <w:tcW w:w="1031"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hint="eastAsia" w:ascii="Times New Roman" w:hAnsi="Times New Roman" w:eastAsia="黑体" w:cs="黑体"/>
                <w:caps w:val="0"/>
                <w:kern w:val="0"/>
                <w:sz w:val="21"/>
                <w:szCs w:val="21"/>
              </w:rPr>
            </w:pPr>
          </w:p>
        </w:tc>
        <w:tc>
          <w:tcPr>
            <w:tcW w:w="518"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11</w:t>
            </w:r>
          </w:p>
        </w:tc>
        <w:tc>
          <w:tcPr>
            <w:tcW w:w="1834"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城市生活污水集中收集率</w:t>
            </w:r>
          </w:p>
        </w:tc>
        <w:tc>
          <w:tcPr>
            <w:tcW w:w="86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≥85</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≥88</w:t>
            </w:r>
          </w:p>
        </w:tc>
        <w:tc>
          <w:tcPr>
            <w:tcW w:w="1031"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hint="eastAsia" w:ascii="Times New Roman" w:hAnsi="Times New Roman" w:eastAsia="黑体" w:cs="黑体"/>
                <w:caps w:val="0"/>
                <w:kern w:val="0"/>
                <w:sz w:val="21"/>
                <w:szCs w:val="21"/>
              </w:rPr>
            </w:pPr>
          </w:p>
        </w:tc>
        <w:tc>
          <w:tcPr>
            <w:tcW w:w="518"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12</w:t>
            </w:r>
          </w:p>
        </w:tc>
        <w:tc>
          <w:tcPr>
            <w:tcW w:w="1834"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化学需氧量排放累计减少</w:t>
            </w:r>
          </w:p>
        </w:tc>
        <w:tc>
          <w:tcPr>
            <w:tcW w:w="86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吨</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执行市下达的总量控制指标值</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执行市下达的总量控制指标值</w:t>
            </w:r>
          </w:p>
        </w:tc>
        <w:tc>
          <w:tcPr>
            <w:tcW w:w="1031"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hint="eastAsia" w:ascii="Times New Roman" w:hAnsi="Times New Roman" w:eastAsia="黑体" w:cs="黑体"/>
                <w:caps w:val="0"/>
                <w:kern w:val="0"/>
                <w:sz w:val="21"/>
                <w:szCs w:val="21"/>
              </w:rPr>
            </w:pPr>
          </w:p>
        </w:tc>
        <w:tc>
          <w:tcPr>
            <w:tcW w:w="518"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13</w:t>
            </w:r>
          </w:p>
        </w:tc>
        <w:tc>
          <w:tcPr>
            <w:tcW w:w="1834"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氨氮排放累计减少</w:t>
            </w:r>
          </w:p>
        </w:tc>
        <w:tc>
          <w:tcPr>
            <w:tcW w:w="86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吨</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执行市下达的总量控制指标值</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执行市下达的总量控制指标值</w:t>
            </w:r>
          </w:p>
        </w:tc>
        <w:tc>
          <w:tcPr>
            <w:tcW w:w="1031"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hint="eastAsia" w:ascii="Times New Roman" w:hAnsi="Times New Roman" w:eastAsia="黑体" w:cs="黑体"/>
                <w:caps w:val="0"/>
                <w:kern w:val="0"/>
                <w:sz w:val="21"/>
                <w:szCs w:val="21"/>
              </w:rPr>
            </w:pPr>
          </w:p>
        </w:tc>
        <w:tc>
          <w:tcPr>
            <w:tcW w:w="518"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14</w:t>
            </w:r>
          </w:p>
        </w:tc>
        <w:tc>
          <w:tcPr>
            <w:tcW w:w="1834"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氮氧化物排放累计减少</w:t>
            </w:r>
          </w:p>
        </w:tc>
        <w:tc>
          <w:tcPr>
            <w:tcW w:w="86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吨</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执行市下达的总量控制指标值</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执行市下达的总量控制指标值</w:t>
            </w:r>
          </w:p>
        </w:tc>
        <w:tc>
          <w:tcPr>
            <w:tcW w:w="1031"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hint="eastAsia" w:ascii="Times New Roman" w:hAnsi="Times New Roman" w:eastAsia="黑体" w:cs="黑体"/>
                <w:caps w:val="0"/>
                <w:kern w:val="0"/>
                <w:sz w:val="21"/>
                <w:szCs w:val="21"/>
              </w:rPr>
            </w:pPr>
          </w:p>
        </w:tc>
        <w:tc>
          <w:tcPr>
            <w:tcW w:w="518"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15</w:t>
            </w:r>
          </w:p>
        </w:tc>
        <w:tc>
          <w:tcPr>
            <w:tcW w:w="1834"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挥发性有机物排放累计减少</w:t>
            </w:r>
          </w:p>
        </w:tc>
        <w:tc>
          <w:tcPr>
            <w:tcW w:w="86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吨</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执行市下达的总量控制指标值</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执行市下达的总量控制指标值</w:t>
            </w:r>
          </w:p>
        </w:tc>
        <w:tc>
          <w:tcPr>
            <w:tcW w:w="1031"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764"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Times New Roman" w:hAnsi="Times New Roman" w:eastAsia="黑体" w:cs="黑体"/>
                <w:caps w:val="0"/>
                <w:kern w:val="0"/>
                <w:sz w:val="21"/>
                <w:szCs w:val="21"/>
              </w:rPr>
            </w:pPr>
            <w:r>
              <w:rPr>
                <w:rFonts w:hint="eastAsia" w:ascii="Times New Roman" w:hAnsi="Times New Roman" w:eastAsia="黑体" w:cs="黑体"/>
                <w:caps w:val="0"/>
                <w:kern w:val="0"/>
                <w:sz w:val="21"/>
                <w:szCs w:val="21"/>
              </w:rPr>
              <w:t>生态保护</w:t>
            </w:r>
          </w:p>
        </w:tc>
        <w:tc>
          <w:tcPr>
            <w:tcW w:w="518"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16</w:t>
            </w:r>
          </w:p>
        </w:tc>
        <w:tc>
          <w:tcPr>
            <w:tcW w:w="1834"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森林覆盖率</w:t>
            </w:r>
          </w:p>
        </w:tc>
        <w:tc>
          <w:tcPr>
            <w:tcW w:w="86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38.3</w:t>
            </w:r>
          </w:p>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（2021）</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≥36.6</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≥36.6</w:t>
            </w:r>
          </w:p>
        </w:tc>
        <w:tc>
          <w:tcPr>
            <w:tcW w:w="1031"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约束性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Times New Roman" w:hAnsi="Times New Roman" w:eastAsia="黑体" w:cs="黑体"/>
                <w:caps w:val="0"/>
                <w:kern w:val="0"/>
                <w:sz w:val="21"/>
                <w:szCs w:val="21"/>
              </w:rPr>
            </w:pPr>
          </w:p>
        </w:tc>
        <w:tc>
          <w:tcPr>
            <w:tcW w:w="518"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17</w:t>
            </w:r>
          </w:p>
        </w:tc>
        <w:tc>
          <w:tcPr>
            <w:tcW w:w="1834"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生态保护红线占国土面积比例</w:t>
            </w:r>
          </w:p>
        </w:tc>
        <w:tc>
          <w:tcPr>
            <w:tcW w:w="86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完成市下达目标</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完成市下达目标</w:t>
            </w:r>
          </w:p>
        </w:tc>
        <w:tc>
          <w:tcPr>
            <w:tcW w:w="1031"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约束性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hint="eastAsia" w:ascii="Times New Roman" w:hAnsi="Times New Roman" w:eastAsia="黑体" w:cs="黑体"/>
                <w:caps w:val="0"/>
                <w:kern w:val="0"/>
                <w:sz w:val="21"/>
                <w:szCs w:val="21"/>
              </w:rPr>
            </w:pPr>
          </w:p>
        </w:tc>
        <w:tc>
          <w:tcPr>
            <w:tcW w:w="518"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18</w:t>
            </w:r>
          </w:p>
        </w:tc>
        <w:tc>
          <w:tcPr>
            <w:tcW w:w="1834"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人均公园和开敞空间面积</w:t>
            </w:r>
          </w:p>
        </w:tc>
        <w:tc>
          <w:tcPr>
            <w:tcW w:w="86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平方米</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≥21</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w:t>
            </w:r>
          </w:p>
        </w:tc>
        <w:tc>
          <w:tcPr>
            <w:tcW w:w="1031"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764"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Times New Roman" w:hAnsi="Times New Roman" w:eastAsia="黑体" w:cs="黑体"/>
                <w:caps w:val="0"/>
                <w:kern w:val="0"/>
                <w:sz w:val="21"/>
                <w:szCs w:val="21"/>
              </w:rPr>
            </w:pPr>
            <w:r>
              <w:rPr>
                <w:rFonts w:hint="eastAsia" w:ascii="Times New Roman" w:hAnsi="Times New Roman" w:eastAsia="黑体" w:cs="黑体"/>
                <w:caps w:val="0"/>
                <w:kern w:val="0"/>
                <w:sz w:val="21"/>
                <w:szCs w:val="21"/>
              </w:rPr>
              <w:t>风险防控</w:t>
            </w:r>
          </w:p>
        </w:tc>
        <w:tc>
          <w:tcPr>
            <w:tcW w:w="518"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19</w:t>
            </w:r>
          </w:p>
        </w:tc>
        <w:tc>
          <w:tcPr>
            <w:tcW w:w="1834" w:type="dxa"/>
            <w:tcBorders>
              <w:top w:val="single" w:color="auto" w:sz="4" w:space="0"/>
              <w:left w:val="single" w:color="auto" w:sz="4" w:space="0"/>
              <w:bottom w:val="single" w:color="auto" w:sz="4" w:space="0"/>
              <w:right w:val="single" w:color="auto" w:sz="4" w:space="0"/>
            </w:tcBorders>
            <w:vAlign w:val="top"/>
          </w:tcPr>
          <w:p>
            <w:pPr>
              <w:widowControl/>
              <w:wordWrap/>
              <w:adjustRightInd/>
              <w:snapToGrid/>
              <w:spacing w:line="320" w:lineRule="exact"/>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受污染耕地安全利用率</w:t>
            </w:r>
          </w:p>
        </w:tc>
        <w:tc>
          <w:tcPr>
            <w:tcW w:w="86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100</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≥90</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≥95</w:t>
            </w:r>
          </w:p>
        </w:tc>
        <w:tc>
          <w:tcPr>
            <w:tcW w:w="1031"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caps w:val="0"/>
                <w:kern w:val="0"/>
                <w:sz w:val="21"/>
                <w:szCs w:val="21"/>
              </w:rPr>
            </w:pPr>
          </w:p>
        </w:tc>
        <w:tc>
          <w:tcPr>
            <w:tcW w:w="518"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20</w:t>
            </w:r>
          </w:p>
        </w:tc>
        <w:tc>
          <w:tcPr>
            <w:tcW w:w="1834" w:type="dxa"/>
            <w:tcBorders>
              <w:top w:val="single" w:color="auto" w:sz="4" w:space="0"/>
              <w:left w:val="single" w:color="auto" w:sz="4" w:space="0"/>
              <w:bottom w:val="single" w:color="auto" w:sz="4" w:space="0"/>
              <w:right w:val="single" w:color="auto" w:sz="4" w:space="0"/>
            </w:tcBorders>
            <w:vAlign w:val="top"/>
          </w:tcPr>
          <w:p>
            <w:pPr>
              <w:widowControl/>
              <w:wordWrap/>
              <w:adjustRightInd/>
              <w:snapToGrid/>
              <w:spacing w:line="320" w:lineRule="exact"/>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污染地块安全利用率</w:t>
            </w:r>
          </w:p>
        </w:tc>
        <w:tc>
          <w:tcPr>
            <w:tcW w:w="86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100（无污染地块）</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≥90</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≥95</w:t>
            </w:r>
          </w:p>
        </w:tc>
        <w:tc>
          <w:tcPr>
            <w:tcW w:w="1031"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caps w:val="0"/>
                <w:kern w:val="0"/>
                <w:sz w:val="21"/>
                <w:szCs w:val="21"/>
              </w:rPr>
            </w:pPr>
          </w:p>
        </w:tc>
        <w:tc>
          <w:tcPr>
            <w:tcW w:w="518"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21</w:t>
            </w:r>
          </w:p>
        </w:tc>
        <w:tc>
          <w:tcPr>
            <w:tcW w:w="1834"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工业危险废物贮存量占产生量比例</w:t>
            </w:r>
          </w:p>
        </w:tc>
        <w:tc>
          <w:tcPr>
            <w:tcW w:w="86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10</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8</w:t>
            </w:r>
          </w:p>
        </w:tc>
        <w:tc>
          <w:tcPr>
            <w:tcW w:w="1031"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Times New Roman" w:hAnsi="Times New Roman"/>
                <w:caps w:val="0"/>
                <w:kern w:val="0"/>
                <w:sz w:val="21"/>
                <w:szCs w:val="21"/>
              </w:rPr>
            </w:pPr>
          </w:p>
        </w:tc>
        <w:tc>
          <w:tcPr>
            <w:tcW w:w="518"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22</w:t>
            </w:r>
          </w:p>
        </w:tc>
        <w:tc>
          <w:tcPr>
            <w:tcW w:w="1834"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医疗废物收集处置体系覆盖率</w:t>
            </w:r>
          </w:p>
        </w:tc>
        <w:tc>
          <w:tcPr>
            <w:tcW w:w="86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100</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100</w:t>
            </w:r>
          </w:p>
        </w:tc>
        <w:tc>
          <w:tcPr>
            <w:tcW w:w="1031"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预期性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Times New Roman" w:hAnsi="Times New Roman"/>
                <w:caps w:val="0"/>
                <w:kern w:val="0"/>
                <w:sz w:val="21"/>
                <w:szCs w:val="21"/>
              </w:rPr>
            </w:pPr>
          </w:p>
        </w:tc>
        <w:tc>
          <w:tcPr>
            <w:tcW w:w="518"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23</w:t>
            </w:r>
          </w:p>
        </w:tc>
        <w:tc>
          <w:tcPr>
            <w:tcW w:w="1834"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城镇生活垃圾无害化处理率</w:t>
            </w:r>
          </w:p>
        </w:tc>
        <w:tc>
          <w:tcPr>
            <w:tcW w:w="86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100</w:t>
            </w:r>
          </w:p>
        </w:tc>
        <w:tc>
          <w:tcPr>
            <w:tcW w:w="134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100</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100</w:t>
            </w:r>
          </w:p>
        </w:tc>
        <w:tc>
          <w:tcPr>
            <w:tcW w:w="1031"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20" w:lineRule="exact"/>
              <w:jc w:val="center"/>
              <w:textAlignment w:val="auto"/>
              <w:rPr>
                <w:rFonts w:hint="eastAsia" w:ascii="Times New Roman" w:hAnsi="Times New Roman" w:eastAsia="宋体" w:cs="宋体"/>
                <w:caps w:val="0"/>
                <w:kern w:val="21"/>
                <w:sz w:val="21"/>
                <w:szCs w:val="21"/>
              </w:rPr>
            </w:pPr>
            <w:r>
              <w:rPr>
                <w:rFonts w:hint="eastAsia" w:ascii="Times New Roman" w:hAnsi="Times New Roman" w:eastAsia="宋体" w:cs="宋体"/>
                <w:caps w:val="0"/>
                <w:kern w:val="21"/>
                <w:sz w:val="21"/>
                <w:szCs w:val="21"/>
              </w:rPr>
              <w:t>预期性</w:t>
            </w:r>
            <w:bookmarkEnd w:id="32"/>
          </w:p>
        </w:tc>
      </w:tr>
    </w:tbl>
    <w:p>
      <w:pPr>
        <w:widowControl w:val="0"/>
        <w:wordWrap/>
        <w:adjustRightInd/>
        <w:snapToGrid/>
        <w:spacing w:beforeLines="50" w:afterLines="50"/>
        <w:ind w:firstLine="632" w:firstLineChars="200"/>
        <w:textAlignment w:val="auto"/>
        <w:rPr>
          <w:rFonts w:ascii="Times New Roman" w:hAnsi="Times New Roman"/>
          <w:caps w:val="0"/>
          <w:sz w:val="32"/>
          <w:szCs w:val="32"/>
        </w:rPr>
      </w:pPr>
      <w:r>
        <w:rPr>
          <w:rFonts w:ascii="Times New Roman" w:hAnsi="Times New Roman"/>
          <w:caps w:val="0"/>
        </w:rPr>
        <w:br w:type="page"/>
      </w:r>
      <w:bookmarkStart w:id="36" w:name="_Toc88053811"/>
      <w:r>
        <w:rPr>
          <w:rFonts w:hint="default" w:ascii="Times New Roman" w:hAnsi="Times New Roman" w:eastAsia="黑体" w:cs="Times New Roman"/>
          <w:caps w:val="0"/>
          <w:sz w:val="32"/>
          <w:szCs w:val="32"/>
        </w:rPr>
        <w:t>5</w:t>
      </w:r>
      <w:r>
        <w:rPr>
          <w:rFonts w:hint="eastAsia" w:ascii="Times New Roman" w:hAnsi="Times New Roman" w:eastAsia="黑体" w:cs="黑体"/>
          <w:caps w:val="0"/>
          <w:sz w:val="32"/>
          <w:szCs w:val="32"/>
        </w:rPr>
        <w:t>、生态与环境功能区划分</w:t>
      </w:r>
      <w:bookmarkEnd w:id="36"/>
    </w:p>
    <w:p>
      <w:pPr>
        <w:widowControl w:val="0"/>
        <w:wordWrap/>
        <w:adjustRightInd/>
        <w:snapToGrid/>
        <w:spacing w:line="240" w:lineRule="auto"/>
        <w:ind w:firstLine="632" w:firstLineChars="200"/>
        <w:textAlignment w:val="auto"/>
        <w:rPr>
          <w:rFonts w:ascii="Times New Roman" w:hAnsi="Times New Roman"/>
          <w:caps w:val="0"/>
          <w:kern w:val="0"/>
          <w:sz w:val="32"/>
          <w:szCs w:val="32"/>
        </w:rPr>
      </w:pPr>
      <w:r>
        <w:rPr>
          <w:rFonts w:hint="eastAsia" w:ascii="Times New Roman" w:hAnsi="Times New Roman"/>
          <w:caps w:val="0"/>
          <w:kern w:val="0"/>
          <w:sz w:val="32"/>
          <w:szCs w:val="32"/>
        </w:rPr>
        <w:t>本规划涉及的生态分级控制方案、水环境功能区、环境空气功能区、声环境功能区以及基本农田、饮用水水源保护区、森林公园和自然保护区等重点保护区域，以国家、广东省、广州市印发实施的成果为准，若上级部门对相关区域范围、面积进行调整，本规划自行与之动态衔接。</w:t>
      </w:r>
    </w:p>
    <w:p>
      <w:pPr>
        <w:pStyle w:val="4"/>
        <w:keepNext/>
        <w:keepLines/>
        <w:widowControl w:val="0"/>
        <w:wordWrap/>
        <w:adjustRightInd/>
        <w:snapToGrid/>
        <w:spacing w:beforeLines="50" w:afterLines="50" w:line="240" w:lineRule="auto"/>
        <w:ind w:firstLine="632" w:firstLineChars="200"/>
        <w:textAlignment w:val="auto"/>
        <w:rPr>
          <w:rFonts w:hint="eastAsia" w:ascii="Times New Roman" w:hAnsi="Times New Roman" w:eastAsia="楷体_GB2312" w:cs="楷体_GB2312"/>
          <w:b w:val="0"/>
          <w:bCs w:val="0"/>
          <w:caps w:val="0"/>
          <w:sz w:val="32"/>
          <w:szCs w:val="32"/>
        </w:rPr>
      </w:pPr>
      <w:bookmarkStart w:id="37" w:name="_Toc88053812"/>
      <w:r>
        <w:rPr>
          <w:rFonts w:ascii="Times New Roman" w:hAnsi="Times New Roman" w:eastAsia="宋体"/>
          <w:b w:val="0"/>
          <w:bCs w:val="0"/>
          <w:caps w:val="0"/>
          <w:sz w:val="32"/>
          <w:szCs w:val="32"/>
        </w:rPr>
        <w:t>5.1</w:t>
      </w:r>
      <w:bookmarkStart w:id="38" w:name="_Hlk88045976"/>
      <w:r>
        <w:rPr>
          <w:rFonts w:hint="eastAsia" w:ascii="Times New Roman" w:hAnsi="Times New Roman" w:eastAsia="楷体_GB2312" w:cs="楷体_GB2312"/>
          <w:b w:val="0"/>
          <w:bCs w:val="0"/>
          <w:caps w:val="0"/>
          <w:sz w:val="32"/>
          <w:szCs w:val="32"/>
        </w:rPr>
        <w:t>生态分级控制方案</w:t>
      </w:r>
      <w:bookmarkEnd w:id="37"/>
      <w:bookmarkEnd w:id="38"/>
    </w:p>
    <w:p>
      <w:pPr>
        <w:widowControl w:val="0"/>
        <w:wordWrap/>
        <w:adjustRightInd/>
        <w:snapToGrid/>
        <w:spacing w:line="240" w:lineRule="auto"/>
        <w:ind w:firstLine="632" w:firstLineChars="200"/>
        <w:textAlignment w:val="auto"/>
        <w:rPr>
          <w:rFonts w:ascii="Times New Roman" w:hAnsi="Times New Roman"/>
          <w:caps w:val="0"/>
          <w:kern w:val="0"/>
          <w:sz w:val="32"/>
          <w:szCs w:val="32"/>
        </w:rPr>
      </w:pPr>
      <w:bookmarkStart w:id="39" w:name="_Hlk88045928"/>
      <w:bookmarkStart w:id="40" w:name="_Hlk88046307"/>
      <w:r>
        <w:rPr>
          <w:rFonts w:ascii="Times New Roman" w:hAnsi="Times New Roman"/>
          <w:caps w:val="0"/>
          <w:kern w:val="0"/>
          <w:sz w:val="32"/>
          <w:szCs w:val="32"/>
        </w:rPr>
        <w:t>花都区生态分级控制方案共划分为3</w:t>
      </w:r>
      <w:r>
        <w:rPr>
          <w:rFonts w:hint="eastAsia" w:ascii="Times New Roman" w:hAnsi="Times New Roman" w:eastAsia="仿宋_GB2312" w:cs="仿宋_GB2312"/>
          <w:caps w:val="0"/>
          <w:kern w:val="0"/>
          <w:sz w:val="32"/>
          <w:szCs w:val="32"/>
        </w:rPr>
        <w:t>级生态环境管控区</w:t>
      </w:r>
      <w:r>
        <w:rPr>
          <w:rFonts w:hint="eastAsia" w:ascii="Times New Roman" w:hAnsi="Times New Roman" w:cs="仿宋_GB2312"/>
          <w:caps w:val="0"/>
          <w:kern w:val="0"/>
          <w:sz w:val="32"/>
          <w:szCs w:val="32"/>
          <w:lang w:eastAsia="zh-CN"/>
        </w:rPr>
        <w:t>，</w:t>
      </w:r>
      <w:r>
        <w:rPr>
          <w:rFonts w:hint="eastAsia" w:ascii="Times New Roman" w:hAnsi="Times New Roman" w:eastAsia="仿宋_GB2312" w:cs="仿宋_GB2312"/>
          <w:caps w:val="0"/>
          <w:kern w:val="0"/>
          <w:sz w:val="32"/>
          <w:szCs w:val="32"/>
        </w:rPr>
        <w:t>即生态保护红线、一般生态空间和一般管控区。</w:t>
      </w:r>
    </w:p>
    <w:p>
      <w:pPr>
        <w:widowControl w:val="0"/>
        <w:wordWrap/>
        <w:adjustRightInd/>
        <w:snapToGrid/>
        <w:spacing w:line="240" w:lineRule="auto"/>
        <w:ind w:firstLine="632" w:firstLineChars="200"/>
        <w:textAlignment w:val="auto"/>
        <w:rPr>
          <w:rFonts w:ascii="Times New Roman" w:hAnsi="Times New Roman"/>
          <w:b/>
          <w:caps w:val="0"/>
          <w:sz w:val="32"/>
          <w:szCs w:val="32"/>
        </w:rPr>
      </w:pPr>
      <w:r>
        <w:rPr>
          <w:rFonts w:ascii="Times New Roman" w:hAnsi="Times New Roman"/>
          <w:b/>
          <w:caps w:val="0"/>
          <w:sz w:val="32"/>
          <w:szCs w:val="32"/>
        </w:rPr>
        <w:t>（1）生态保护红线</w:t>
      </w:r>
    </w:p>
    <w:p>
      <w:pPr>
        <w:widowControl w:val="0"/>
        <w:wordWrap/>
        <w:adjustRightInd/>
        <w:snapToGrid/>
        <w:spacing w:line="240" w:lineRule="auto"/>
        <w:ind w:firstLine="632" w:firstLineChars="200"/>
        <w:textAlignment w:val="auto"/>
        <w:rPr>
          <w:rFonts w:ascii="Times New Roman" w:hAnsi="Times New Roman"/>
          <w:caps w:val="0"/>
          <w:kern w:val="0"/>
          <w:sz w:val="32"/>
          <w:szCs w:val="32"/>
          <w:highlight w:val="none"/>
        </w:rPr>
      </w:pPr>
      <w:r>
        <w:rPr>
          <w:rFonts w:ascii="Times New Roman" w:hAnsi="Times New Roman"/>
          <w:caps w:val="0"/>
          <w:kern w:val="0"/>
          <w:sz w:val="32"/>
          <w:szCs w:val="32"/>
        </w:rPr>
        <w:t>陆域生态保护红线面积131.74平方公里</w:t>
      </w:r>
      <w:r>
        <w:rPr>
          <w:rFonts w:hint="eastAsia" w:ascii="Times New Roman" w:hAnsi="Times New Roman"/>
          <w:caps w:val="0"/>
          <w:kern w:val="0"/>
          <w:sz w:val="32"/>
          <w:szCs w:val="32"/>
        </w:rPr>
        <w:t>（生态保护红线面积以国家、省、市正式发布为准）</w:t>
      </w:r>
      <w:r>
        <w:rPr>
          <w:rFonts w:ascii="Times New Roman" w:hAnsi="Times New Roman"/>
          <w:caps w:val="0"/>
          <w:kern w:val="0"/>
          <w:sz w:val="32"/>
          <w:szCs w:val="32"/>
        </w:rPr>
        <w:t>，占陆域国土面积的13.59%。</w:t>
      </w:r>
      <w:r>
        <w:rPr>
          <w:rFonts w:ascii="Times New Roman" w:hAnsi="Times New Roman"/>
          <w:caps w:val="0"/>
          <w:kern w:val="0"/>
          <w:sz w:val="32"/>
          <w:szCs w:val="32"/>
          <w:highlight w:val="none"/>
        </w:rPr>
        <w:t>陆域生态保护红线</w:t>
      </w:r>
      <w:r>
        <w:rPr>
          <w:rFonts w:hint="eastAsia"/>
          <w:caps w:val="0"/>
          <w:kern w:val="0"/>
          <w:sz w:val="32"/>
          <w:szCs w:val="32"/>
          <w:highlight w:val="none"/>
          <w:lang w:eastAsia="zh-CN"/>
        </w:rPr>
        <w:t>的主导生态功能</w:t>
      </w:r>
      <w:r>
        <w:rPr>
          <w:rFonts w:ascii="Times New Roman" w:hAnsi="Times New Roman"/>
          <w:caps w:val="0"/>
          <w:kern w:val="0"/>
          <w:sz w:val="32"/>
          <w:szCs w:val="32"/>
          <w:highlight w:val="none"/>
        </w:rPr>
        <w:t>以维护生物多样性</w:t>
      </w:r>
      <w:r>
        <w:rPr>
          <w:rFonts w:hint="eastAsia"/>
          <w:caps w:val="0"/>
          <w:kern w:val="0"/>
          <w:sz w:val="32"/>
          <w:szCs w:val="32"/>
          <w:highlight w:val="none"/>
          <w:lang w:eastAsia="zh-CN"/>
        </w:rPr>
        <w:t>为主</w:t>
      </w:r>
      <w:r>
        <w:rPr>
          <w:rFonts w:ascii="Times New Roman" w:hAnsi="Times New Roman"/>
          <w:caps w:val="0"/>
          <w:kern w:val="0"/>
          <w:sz w:val="32"/>
          <w:szCs w:val="32"/>
          <w:highlight w:val="none"/>
        </w:rPr>
        <w:t>。</w:t>
      </w:r>
    </w:p>
    <w:p>
      <w:pPr>
        <w:widowControl w:val="0"/>
        <w:wordWrap/>
        <w:adjustRightInd/>
        <w:snapToGrid/>
        <w:spacing w:line="240" w:lineRule="auto"/>
        <w:ind w:firstLine="632" w:firstLineChars="200"/>
        <w:textAlignment w:val="auto"/>
        <w:rPr>
          <w:rFonts w:ascii="Times New Roman" w:hAnsi="Times New Roman"/>
          <w:caps w:val="0"/>
          <w:kern w:val="0"/>
          <w:sz w:val="32"/>
          <w:szCs w:val="32"/>
        </w:rPr>
      </w:pPr>
      <w:r>
        <w:rPr>
          <w:rFonts w:ascii="Times New Roman" w:hAnsi="Times New Roman"/>
          <w:caps w:val="0"/>
          <w:kern w:val="0"/>
          <w:sz w:val="32"/>
          <w:szCs w:val="32"/>
        </w:rPr>
        <w:t>生态保护红线按《关于在国土空间规划中统筹划定落实三条控制线的指导意见》及国家、省有关的要求进行管理。自然保护地核心保护区原则上禁止人为活动，其他区域严格禁止开发性、生产性建设活动，在符合现行法律法规前提下，除国家重大战略项目外，仅允许对生态功能不造成破坏的有限人为活动，主要包括：（1）零星的原住民在不扩大现有建设用地和耕地规模前提下，修缮生产生活设施，保留生活必需的少量种植、放牧、捕捞、养殖；（2）因国家重大能源资源安全需要开展的战略性能源资源勘查</w:t>
      </w:r>
      <w:r>
        <w:rPr>
          <w:rFonts w:hint="eastAsia"/>
          <w:caps w:val="0"/>
          <w:kern w:val="0"/>
          <w:sz w:val="32"/>
          <w:szCs w:val="32"/>
          <w:lang w:eastAsia="zh-CN"/>
        </w:rPr>
        <w:t>、</w:t>
      </w:r>
      <w:r>
        <w:rPr>
          <w:rFonts w:ascii="Times New Roman" w:hAnsi="Times New Roman"/>
          <w:caps w:val="0"/>
          <w:kern w:val="0"/>
          <w:sz w:val="32"/>
          <w:szCs w:val="32"/>
        </w:rPr>
        <w:t>公益性自然资源调查和地质勘查；（3）自然资源、生态环境监测和执法包括水文水资源监测及涉水违法事件的查处等，灾害防治和应急抢险活动；（4）经依法批准进行的非破坏性科学研究</w:t>
      </w:r>
      <w:r>
        <w:rPr>
          <w:rFonts w:ascii="Times New Roman" w:hAnsi="Times New Roman"/>
          <w:caps w:val="0"/>
          <w:spacing w:val="-6"/>
          <w:kern w:val="0"/>
          <w:sz w:val="32"/>
          <w:szCs w:val="32"/>
        </w:rPr>
        <w:t>观测、标本采集；（5）经依法批准的考古调查发掘和文物保护活动；（6）不破坏生态功能的适度参观旅游和相关的必要公共设施建设；（7）必须且无法避让、符合县级以上国土空间规划的线性基础设施建设、防洪和供水设施建设与运行维护；（8）重要生态修复工程。</w:t>
      </w:r>
    </w:p>
    <w:p>
      <w:pPr>
        <w:widowControl w:val="0"/>
        <w:wordWrap/>
        <w:adjustRightInd/>
        <w:snapToGrid/>
        <w:spacing w:line="240" w:lineRule="auto"/>
        <w:ind w:firstLine="632" w:firstLineChars="200"/>
        <w:textAlignment w:val="auto"/>
        <w:rPr>
          <w:rFonts w:ascii="Times New Roman" w:hAnsi="Times New Roman"/>
          <w:b/>
          <w:caps w:val="0"/>
          <w:sz w:val="32"/>
          <w:szCs w:val="32"/>
        </w:rPr>
      </w:pPr>
      <w:r>
        <w:rPr>
          <w:rFonts w:ascii="Times New Roman" w:hAnsi="Times New Roman"/>
          <w:b/>
          <w:caps w:val="0"/>
          <w:sz w:val="32"/>
          <w:szCs w:val="32"/>
        </w:rPr>
        <w:t>（2）一般生态空间</w:t>
      </w:r>
    </w:p>
    <w:p>
      <w:pPr>
        <w:widowControl w:val="0"/>
        <w:wordWrap/>
        <w:adjustRightInd/>
        <w:snapToGrid/>
        <w:spacing w:line="240" w:lineRule="auto"/>
        <w:ind w:firstLine="632" w:firstLineChars="200"/>
        <w:textAlignment w:val="auto"/>
        <w:rPr>
          <w:rFonts w:ascii="Times New Roman" w:hAnsi="Times New Roman"/>
          <w:caps w:val="0"/>
          <w:kern w:val="0"/>
          <w:sz w:val="32"/>
          <w:szCs w:val="32"/>
        </w:rPr>
      </w:pPr>
      <w:r>
        <w:rPr>
          <w:rFonts w:ascii="Times New Roman" w:hAnsi="Times New Roman"/>
          <w:caps w:val="0"/>
          <w:kern w:val="0"/>
          <w:sz w:val="32"/>
          <w:szCs w:val="32"/>
        </w:rPr>
        <w:t>一般生态空间总面积</w:t>
      </w:r>
      <w:r>
        <w:rPr>
          <w:rFonts w:ascii="Times New Roman" w:hAnsi="Times New Roman"/>
          <w:caps w:val="0"/>
          <w:sz w:val="32"/>
          <w:szCs w:val="32"/>
        </w:rPr>
        <w:t>40.8</w:t>
      </w:r>
      <w:r>
        <w:rPr>
          <w:rFonts w:ascii="Times New Roman" w:hAnsi="Times New Roman"/>
          <w:caps w:val="0"/>
          <w:kern w:val="0"/>
          <w:sz w:val="32"/>
          <w:szCs w:val="32"/>
        </w:rPr>
        <w:t>平方公里，占全区面积的4.21</w:t>
      </w:r>
      <w:r>
        <w:rPr>
          <w:rFonts w:ascii="Times New Roman" w:hAnsi="Times New Roman"/>
          <w:caps w:val="0"/>
          <w:sz w:val="32"/>
          <w:szCs w:val="32"/>
        </w:rPr>
        <w:t>％</w:t>
      </w:r>
      <w:r>
        <w:rPr>
          <w:rFonts w:hint="eastAsia" w:ascii="Times New Roman" w:hAnsi="Times New Roman" w:eastAsia="仿宋_GB2312" w:cs="仿宋_GB2312"/>
          <w:caps w:val="0"/>
          <w:kern w:val="0"/>
          <w:sz w:val="32"/>
          <w:szCs w:val="32"/>
        </w:rPr>
        <w:t>，</w:t>
      </w:r>
      <w:r>
        <w:rPr>
          <w:rFonts w:hint="eastAsia" w:ascii="Times New Roman" w:hAnsi="Times New Roman" w:eastAsia="仿宋_GB2312" w:cs="仿宋_GB2312"/>
          <w:caps w:val="0"/>
          <w:kern w:val="0"/>
          <w:sz w:val="32"/>
          <w:szCs w:val="32"/>
          <w:highlight w:val="none"/>
        </w:rPr>
        <w:t>包括饮用水源和水土保持</w:t>
      </w:r>
      <w:r>
        <w:rPr>
          <w:rFonts w:hint="eastAsia" w:ascii="Times New Roman" w:hAnsi="Times New Roman" w:cs="仿宋_GB2312"/>
          <w:caps w:val="0"/>
          <w:kern w:val="0"/>
          <w:sz w:val="32"/>
          <w:szCs w:val="32"/>
          <w:highlight w:val="none"/>
          <w:lang w:eastAsia="zh-CN"/>
        </w:rPr>
        <w:t>—</w:t>
      </w:r>
      <w:r>
        <w:rPr>
          <w:rFonts w:hint="eastAsia" w:ascii="Times New Roman" w:hAnsi="Times New Roman" w:eastAsia="仿宋_GB2312" w:cs="仿宋_GB2312"/>
          <w:caps w:val="0"/>
          <w:kern w:val="0"/>
          <w:sz w:val="32"/>
          <w:szCs w:val="32"/>
          <w:highlight w:val="none"/>
        </w:rPr>
        <w:t>水源涵养两类。</w:t>
      </w:r>
      <w:r>
        <w:rPr>
          <w:rFonts w:hint="eastAsia" w:ascii="Times New Roman" w:hAnsi="Times New Roman" w:eastAsia="仿宋_GB2312" w:cs="仿宋_GB2312"/>
          <w:caps w:val="0"/>
          <w:kern w:val="0"/>
          <w:sz w:val="32"/>
          <w:szCs w:val="32"/>
        </w:rPr>
        <w:t>其中饮用水源一般生态空间面积为</w:t>
      </w:r>
      <w:r>
        <w:rPr>
          <w:rFonts w:ascii="Times New Roman" w:hAnsi="Times New Roman"/>
          <w:caps w:val="0"/>
          <w:kern w:val="0"/>
          <w:sz w:val="32"/>
          <w:szCs w:val="32"/>
        </w:rPr>
        <w:t>21.51平方千米，占全区总面积的2.22%；</w:t>
      </w:r>
      <w:r>
        <w:rPr>
          <w:rFonts w:ascii="Times New Roman" w:hAnsi="Times New Roman"/>
          <w:caps w:val="0"/>
          <w:kern w:val="0"/>
          <w:sz w:val="32"/>
          <w:szCs w:val="32"/>
          <w:highlight w:val="none"/>
        </w:rPr>
        <w:t>水土保持</w:t>
      </w:r>
      <w:r>
        <w:rPr>
          <w:rFonts w:hint="eastAsia"/>
          <w:caps w:val="0"/>
          <w:kern w:val="0"/>
          <w:sz w:val="32"/>
          <w:szCs w:val="32"/>
          <w:highlight w:val="none"/>
          <w:lang w:eastAsia="zh-CN"/>
        </w:rPr>
        <w:t>—</w:t>
      </w:r>
      <w:r>
        <w:rPr>
          <w:rFonts w:ascii="Times New Roman" w:hAnsi="Times New Roman"/>
          <w:caps w:val="0"/>
          <w:kern w:val="0"/>
          <w:sz w:val="32"/>
          <w:szCs w:val="32"/>
          <w:highlight w:val="none"/>
        </w:rPr>
        <w:t>水源涵养</w:t>
      </w:r>
      <w:r>
        <w:rPr>
          <w:rFonts w:ascii="Times New Roman" w:hAnsi="Times New Roman"/>
          <w:caps w:val="0"/>
          <w:kern w:val="0"/>
          <w:sz w:val="32"/>
          <w:szCs w:val="32"/>
        </w:rPr>
        <w:t>一般生态空间面积为19.29平方千米，占全区总面积的1.99%。</w:t>
      </w:r>
    </w:p>
    <w:p>
      <w:pPr>
        <w:widowControl w:val="0"/>
        <w:wordWrap/>
        <w:adjustRightInd/>
        <w:snapToGrid/>
        <w:spacing w:line="240" w:lineRule="auto"/>
        <w:ind w:firstLine="632" w:firstLineChars="200"/>
        <w:textAlignment w:val="auto"/>
        <w:rPr>
          <w:rFonts w:ascii="Times New Roman" w:hAnsi="Times New Roman"/>
          <w:caps w:val="0"/>
          <w:kern w:val="0"/>
          <w:sz w:val="32"/>
          <w:szCs w:val="32"/>
        </w:rPr>
      </w:pPr>
      <w:r>
        <w:rPr>
          <w:rFonts w:ascii="Times New Roman" w:hAnsi="Times New Roman"/>
          <w:caps w:val="0"/>
          <w:kern w:val="0"/>
          <w:sz w:val="32"/>
          <w:szCs w:val="32"/>
        </w:rPr>
        <w:t>生态保护红线外的一般生态空间，原则上按限制开发区域的要求进行管理。其中纳入一般生态空间的各类保护地按照相关法律法规进行管理。其他一般生态空间依法实行区域准入和用途转用许可制度，严格控制各类开发利用活动对生态空间的占用和扰动。符合区域准入条件的建设项目，涉及占用一般生态空间中的林地、草地等，按有关法律法规规定办理；涉及占用生态空间中其他未作明确规定的用地，</w:t>
      </w:r>
      <w:r>
        <w:rPr>
          <w:rFonts w:hint="eastAsia"/>
          <w:caps w:val="0"/>
          <w:kern w:val="0"/>
          <w:sz w:val="32"/>
          <w:szCs w:val="32"/>
          <w:lang w:eastAsia="zh-CN"/>
        </w:rPr>
        <w:t>应</w:t>
      </w:r>
      <w:r>
        <w:rPr>
          <w:rFonts w:ascii="Times New Roman" w:hAnsi="Times New Roman"/>
          <w:caps w:val="0"/>
          <w:kern w:val="0"/>
          <w:sz w:val="32"/>
          <w:szCs w:val="32"/>
        </w:rPr>
        <w:t>加强论证和管理。鼓励结合土地综合整治、工矿废弃地复垦利用等各类工程实施，引导生态空间内不符合规划及管理要求的建设用地逐步有序退出。符合条件的农业开发项目，须依法由区级及以上地方人民政府统筹安排。有序引导生态空间用途之间的相互转变，鼓励向有利于生态功能提升的方向转变，严格禁止不符合生态保护要求或有损生态功能的相互转换。除依法批准的交通、水利、林业、电力、消防、通信、气象、地震监测、景观游赏、军事等公共服务设施和基础设施外，在不影响主导生态功能的前提下，适度开展生态旅游、畜禽养殖、公益性探矿、村庄建设等人为活动。</w:t>
      </w:r>
    </w:p>
    <w:p>
      <w:pPr>
        <w:widowControl w:val="0"/>
        <w:wordWrap/>
        <w:adjustRightInd/>
        <w:snapToGrid/>
        <w:spacing w:line="240" w:lineRule="auto"/>
        <w:ind w:firstLine="632" w:firstLineChars="200"/>
        <w:textAlignment w:val="auto"/>
        <w:rPr>
          <w:rFonts w:ascii="Times New Roman" w:hAnsi="Times New Roman"/>
          <w:b/>
          <w:caps w:val="0"/>
          <w:sz w:val="32"/>
          <w:szCs w:val="32"/>
        </w:rPr>
      </w:pPr>
      <w:r>
        <w:rPr>
          <w:rFonts w:ascii="Times New Roman" w:hAnsi="Times New Roman"/>
          <w:b/>
          <w:caps w:val="0"/>
          <w:sz w:val="32"/>
          <w:szCs w:val="32"/>
        </w:rPr>
        <w:t>（3）一般管控区</w:t>
      </w:r>
    </w:p>
    <w:p>
      <w:pPr>
        <w:widowControl w:val="0"/>
        <w:wordWrap/>
        <w:adjustRightInd/>
        <w:snapToGrid/>
        <w:spacing w:line="240" w:lineRule="auto"/>
        <w:ind w:firstLine="632" w:firstLineChars="200"/>
        <w:textAlignment w:val="auto"/>
        <w:rPr>
          <w:rFonts w:ascii="Times New Roman" w:hAnsi="Times New Roman"/>
          <w:caps w:val="0"/>
          <w:kern w:val="0"/>
          <w:sz w:val="32"/>
          <w:szCs w:val="32"/>
        </w:rPr>
      </w:pPr>
      <w:r>
        <w:rPr>
          <w:rFonts w:ascii="Times New Roman" w:hAnsi="Times New Roman"/>
          <w:caps w:val="0"/>
          <w:kern w:val="0"/>
          <w:sz w:val="32"/>
          <w:szCs w:val="32"/>
        </w:rPr>
        <w:t>一般管控区总面积</w:t>
      </w:r>
      <w:r>
        <w:rPr>
          <w:rFonts w:ascii="Times New Roman" w:hAnsi="Times New Roman"/>
          <w:caps w:val="0"/>
          <w:sz w:val="32"/>
          <w:szCs w:val="32"/>
        </w:rPr>
        <w:t>798.29</w:t>
      </w:r>
      <w:r>
        <w:rPr>
          <w:rFonts w:ascii="Times New Roman" w:hAnsi="Times New Roman"/>
          <w:caps w:val="0"/>
          <w:kern w:val="0"/>
          <w:sz w:val="32"/>
          <w:szCs w:val="32"/>
        </w:rPr>
        <w:t>平方公里，占全区面积的82.21</w:t>
      </w:r>
      <w:r>
        <w:rPr>
          <w:rFonts w:ascii="Times New Roman" w:hAnsi="Times New Roman"/>
          <w:caps w:val="0"/>
          <w:sz w:val="32"/>
          <w:szCs w:val="32"/>
        </w:rPr>
        <w:t>％</w:t>
      </w:r>
      <w:r>
        <w:rPr>
          <w:rFonts w:hint="eastAsia"/>
          <w:caps w:val="0"/>
          <w:sz w:val="32"/>
          <w:szCs w:val="32"/>
          <w:lang w:eastAsia="zh-CN"/>
        </w:rPr>
        <w:t>，</w:t>
      </w:r>
      <w:r>
        <w:rPr>
          <w:rFonts w:ascii="Times New Roman" w:hAnsi="Times New Roman"/>
          <w:caps w:val="0"/>
          <w:sz w:val="32"/>
          <w:szCs w:val="32"/>
        </w:rPr>
        <w:t>包括农业开发区、新华街、秀全街、花城街、新雅街、机场控制区、部分镇建成区和居民点等。</w:t>
      </w:r>
      <w:r>
        <w:rPr>
          <w:rFonts w:ascii="Times New Roman" w:hAnsi="Times New Roman"/>
          <w:caps w:val="0"/>
          <w:kern w:val="0"/>
          <w:sz w:val="32"/>
          <w:szCs w:val="32"/>
        </w:rPr>
        <w:t>主要以现有的农业开发区、建成区和未来发展区为主，包括居民点、工业区以及城市其他功能区，是重点开发或以开发为主的区域。该区人口密度、建筑密度和经济密度都很高，</w:t>
      </w:r>
      <w:r>
        <w:rPr>
          <w:rFonts w:ascii="Times New Roman" w:hAnsi="Times New Roman"/>
          <w:caps w:val="0"/>
          <w:sz w:val="32"/>
          <w:szCs w:val="32"/>
        </w:rPr>
        <w:t>是花都区经济和工业发展的密集区、都市农业开发区</w:t>
      </w:r>
      <w:r>
        <w:rPr>
          <w:rFonts w:hint="eastAsia"/>
          <w:caps w:val="0"/>
          <w:sz w:val="32"/>
          <w:szCs w:val="32"/>
          <w:lang w:eastAsia="zh-CN"/>
        </w:rPr>
        <w:t>，</w:t>
      </w:r>
      <w:r>
        <w:rPr>
          <w:rFonts w:ascii="Times New Roman" w:hAnsi="Times New Roman"/>
          <w:caps w:val="0"/>
          <w:sz w:val="32"/>
          <w:szCs w:val="32"/>
        </w:rPr>
        <w:t>应大力发展循环经济，调整工业结构和布局，加大力度建设污水处理厂、垃圾处理场等环</w:t>
      </w:r>
      <w:r>
        <w:rPr>
          <w:rFonts w:ascii="Times New Roman" w:hAnsi="Times New Roman"/>
          <w:caps w:val="0"/>
          <w:kern w:val="0"/>
          <w:sz w:val="32"/>
          <w:szCs w:val="32"/>
        </w:rPr>
        <w:t>保基础设施，整治河涌，恢复生态功能，改善人居环境。农业开发区内要加强生态农业建设、农业清洁生产和基本农田保护，降低化肥和农药施用强度，控制农业面源污染。城区、城镇建成区和开发区内要强化规划指导，限</w:t>
      </w:r>
      <w:r>
        <w:rPr>
          <w:rFonts w:ascii="Times New Roman" w:hAnsi="Times New Roman"/>
          <w:caps w:val="0"/>
          <w:spacing w:val="-6"/>
          <w:kern w:val="21"/>
          <w:sz w:val="32"/>
          <w:szCs w:val="32"/>
        </w:rPr>
        <w:t>制占用生态用地，加强城市绿地系统建设。科学调整工业产业结构和规模，加强治污力度，避免开发建设对周围环境产生严重影响。</w:t>
      </w:r>
    </w:p>
    <w:p>
      <w:pPr>
        <w:widowControl w:val="0"/>
        <w:wordWrap/>
        <w:adjustRightInd/>
        <w:snapToGrid/>
        <w:spacing w:line="240" w:lineRule="auto"/>
        <w:ind w:firstLine="632" w:firstLineChars="200"/>
        <w:textAlignment w:val="auto"/>
        <w:rPr>
          <w:rFonts w:ascii="Times New Roman" w:hAnsi="Times New Roman"/>
          <w:b/>
          <w:caps w:val="0"/>
          <w:sz w:val="32"/>
          <w:szCs w:val="32"/>
        </w:rPr>
      </w:pPr>
      <w:r>
        <w:rPr>
          <w:rFonts w:ascii="Times New Roman" w:hAnsi="Times New Roman"/>
          <w:b/>
          <w:caps w:val="0"/>
          <w:sz w:val="32"/>
          <w:szCs w:val="32"/>
        </w:rPr>
        <w:t>（4）重点保护区域</w:t>
      </w:r>
      <w:bookmarkEnd w:id="39"/>
    </w:p>
    <w:p>
      <w:pPr>
        <w:widowControl w:val="0"/>
        <w:wordWrap/>
        <w:adjustRightInd/>
        <w:snapToGrid/>
        <w:spacing w:line="240" w:lineRule="auto"/>
        <w:ind w:firstLine="632" w:firstLineChars="200"/>
        <w:textAlignment w:val="auto"/>
        <w:rPr>
          <w:rFonts w:ascii="Times New Roman" w:hAnsi="Times New Roman"/>
          <w:b/>
          <w:caps w:val="0"/>
          <w:kern w:val="0"/>
          <w:sz w:val="32"/>
          <w:szCs w:val="32"/>
        </w:rPr>
      </w:pPr>
      <w:bookmarkStart w:id="41" w:name="_Toc104982549"/>
      <w:bookmarkStart w:id="42" w:name="_Toc105940985"/>
      <w:bookmarkStart w:id="43" w:name="_Toc103395630"/>
      <w:bookmarkStart w:id="44" w:name="_Toc105566898"/>
      <w:bookmarkStart w:id="45" w:name="_Toc104179491"/>
      <w:bookmarkStart w:id="46" w:name="_Toc105567230"/>
      <w:bookmarkStart w:id="47" w:name="_Toc104783946"/>
      <w:bookmarkStart w:id="48" w:name="_Toc105567318"/>
      <w:bookmarkStart w:id="49" w:name="_Toc105566783"/>
      <w:r>
        <w:rPr>
          <w:rFonts w:ascii="Times New Roman" w:hAnsi="Times New Roman"/>
          <w:b/>
          <w:caps w:val="0"/>
          <w:kern w:val="0"/>
          <w:sz w:val="32"/>
          <w:szCs w:val="32"/>
        </w:rPr>
        <w:t>1）基本农田保护区</w:t>
      </w:r>
    </w:p>
    <w:p>
      <w:pPr>
        <w:widowControl w:val="0"/>
        <w:wordWrap/>
        <w:adjustRightInd/>
        <w:snapToGrid/>
        <w:spacing w:line="240" w:lineRule="auto"/>
        <w:ind w:firstLine="632" w:firstLineChars="200"/>
        <w:textAlignment w:val="auto"/>
        <w:rPr>
          <w:rFonts w:ascii="Times New Roman" w:hAnsi="Times New Roman"/>
          <w:caps w:val="0"/>
          <w:kern w:val="0"/>
          <w:sz w:val="32"/>
          <w:szCs w:val="32"/>
        </w:rPr>
      </w:pPr>
      <w:r>
        <w:rPr>
          <w:rFonts w:hint="eastAsia"/>
          <w:caps w:val="0"/>
          <w:kern w:val="0"/>
          <w:sz w:val="32"/>
          <w:szCs w:val="32"/>
          <w:lang w:eastAsia="zh-CN"/>
        </w:rPr>
        <w:t>基本农田保护区</w:t>
      </w:r>
      <w:r>
        <w:rPr>
          <w:rFonts w:ascii="Times New Roman" w:hAnsi="Times New Roman"/>
          <w:caps w:val="0"/>
          <w:kern w:val="0"/>
          <w:sz w:val="32"/>
          <w:szCs w:val="32"/>
        </w:rPr>
        <w:t>总面积达124.65平方千米，占全区国土面积的12.84%，应大力发展蔬菜、水果、水产、花卉等现代都市农业，</w:t>
      </w:r>
      <w:r>
        <w:rPr>
          <w:rFonts w:hint="eastAsia"/>
          <w:caps w:val="0"/>
          <w:kern w:val="0"/>
          <w:sz w:val="32"/>
          <w:szCs w:val="32"/>
          <w:lang w:eastAsia="zh-CN"/>
        </w:rPr>
        <w:t>实行</w:t>
      </w:r>
      <w:r>
        <w:rPr>
          <w:rFonts w:ascii="Times New Roman" w:hAnsi="Times New Roman"/>
          <w:caps w:val="0"/>
          <w:kern w:val="0"/>
          <w:sz w:val="32"/>
          <w:szCs w:val="32"/>
        </w:rPr>
        <w:t>规模化、集约化经营。</w:t>
      </w:r>
    </w:p>
    <w:p>
      <w:pPr>
        <w:widowControl w:val="0"/>
        <w:wordWrap/>
        <w:adjustRightInd/>
        <w:snapToGrid/>
        <w:spacing w:line="240" w:lineRule="auto"/>
        <w:ind w:firstLine="632" w:firstLineChars="200"/>
        <w:textAlignment w:val="auto"/>
        <w:rPr>
          <w:rFonts w:ascii="Times New Roman" w:hAnsi="Times New Roman"/>
          <w:b/>
          <w:caps w:val="0"/>
          <w:kern w:val="0"/>
          <w:sz w:val="32"/>
          <w:szCs w:val="32"/>
        </w:rPr>
      </w:pPr>
      <w:r>
        <w:rPr>
          <w:rFonts w:ascii="Times New Roman" w:hAnsi="Times New Roman"/>
          <w:b/>
          <w:caps w:val="0"/>
          <w:kern w:val="0"/>
          <w:sz w:val="32"/>
          <w:szCs w:val="32"/>
        </w:rPr>
        <w:t>2）饮用水水源保护区</w:t>
      </w:r>
    </w:p>
    <w:p>
      <w:pPr>
        <w:widowControl w:val="0"/>
        <w:wordWrap/>
        <w:adjustRightInd/>
        <w:snapToGrid/>
        <w:spacing w:line="240" w:lineRule="auto"/>
        <w:ind w:firstLine="632" w:firstLineChars="200"/>
        <w:textAlignment w:val="auto"/>
        <w:rPr>
          <w:rFonts w:ascii="Times New Roman" w:hAnsi="Times New Roman"/>
          <w:caps w:val="0"/>
          <w:kern w:val="0"/>
          <w:sz w:val="32"/>
          <w:szCs w:val="32"/>
        </w:rPr>
      </w:pPr>
      <w:r>
        <w:rPr>
          <w:rFonts w:ascii="Times New Roman" w:hAnsi="Times New Roman"/>
          <w:caps w:val="0"/>
          <w:kern w:val="0"/>
          <w:sz w:val="32"/>
          <w:szCs w:val="32"/>
        </w:rPr>
        <w:t>饮用水水源保护区的面积合计69.57平方千米，占全区总面积的7.16％，包括流溪河石角段、流溪河北兴段、白坭河炭步段3条河流，及芙蓉嶂水库、福源水库、九湾潭水库、三坑水库等8个水库。</w:t>
      </w:r>
    </w:p>
    <w:p>
      <w:pPr>
        <w:widowControl w:val="0"/>
        <w:wordWrap/>
        <w:adjustRightInd/>
        <w:snapToGrid/>
        <w:spacing w:line="240" w:lineRule="auto"/>
        <w:ind w:firstLine="632" w:firstLineChars="200"/>
        <w:textAlignment w:val="auto"/>
        <w:rPr>
          <w:rFonts w:ascii="Times New Roman" w:hAnsi="Times New Roman"/>
          <w:b/>
          <w:caps w:val="0"/>
          <w:kern w:val="0"/>
          <w:sz w:val="32"/>
          <w:szCs w:val="32"/>
        </w:rPr>
      </w:pPr>
      <w:r>
        <w:rPr>
          <w:rFonts w:ascii="Times New Roman" w:hAnsi="Times New Roman"/>
          <w:b/>
          <w:caps w:val="0"/>
          <w:kern w:val="0"/>
          <w:sz w:val="32"/>
          <w:szCs w:val="32"/>
        </w:rPr>
        <w:t>3）森林公园和自然保护区</w:t>
      </w:r>
    </w:p>
    <w:p>
      <w:pPr>
        <w:widowControl w:val="0"/>
        <w:wordWrap/>
        <w:adjustRightInd/>
        <w:snapToGrid/>
        <w:spacing w:line="240" w:lineRule="auto"/>
        <w:ind w:firstLine="632" w:firstLineChars="200"/>
        <w:textAlignment w:val="auto"/>
        <w:rPr>
          <w:rFonts w:ascii="Times New Roman" w:hAnsi="Times New Roman"/>
          <w:caps w:val="0"/>
          <w:kern w:val="0"/>
          <w:sz w:val="32"/>
          <w:szCs w:val="32"/>
        </w:rPr>
      </w:pPr>
      <w:r>
        <w:rPr>
          <w:rFonts w:ascii="Times New Roman" w:hAnsi="Times New Roman"/>
          <w:caps w:val="0"/>
          <w:kern w:val="0"/>
          <w:sz w:val="32"/>
          <w:szCs w:val="32"/>
        </w:rPr>
        <w:t>森林公园和自然保护区面积合计93.01平方千米，占全区总面积的9.58%，包括王子山森林公园、福源森林公园、丫髻岭森林公园、蟾蜍石森林公园、高百丈森林公园、九龙潭森林公园、芙蓉嶂白沙田桃花水母自然保护区。</w:t>
      </w:r>
      <w:bookmarkEnd w:id="40"/>
      <w:bookmarkEnd w:id="41"/>
      <w:bookmarkEnd w:id="42"/>
      <w:bookmarkEnd w:id="43"/>
      <w:bookmarkEnd w:id="44"/>
      <w:bookmarkEnd w:id="45"/>
      <w:bookmarkEnd w:id="46"/>
      <w:bookmarkEnd w:id="47"/>
      <w:bookmarkEnd w:id="48"/>
      <w:bookmarkEnd w:id="49"/>
    </w:p>
    <w:p>
      <w:pPr>
        <w:pStyle w:val="4"/>
        <w:keepNext/>
        <w:keepLines/>
        <w:widowControl w:val="0"/>
        <w:wordWrap/>
        <w:adjustRightInd/>
        <w:snapToGrid/>
        <w:spacing w:beforeLines="50" w:afterLines="50" w:line="240" w:lineRule="auto"/>
        <w:ind w:firstLine="632" w:firstLineChars="200"/>
        <w:textAlignment w:val="auto"/>
        <w:rPr>
          <w:rFonts w:hint="eastAsia" w:ascii="Times New Roman" w:hAnsi="Times New Roman" w:eastAsia="楷体_GB2312" w:cs="楷体_GB2312"/>
          <w:b w:val="0"/>
          <w:bCs w:val="0"/>
          <w:caps w:val="0"/>
          <w:sz w:val="32"/>
          <w:szCs w:val="32"/>
        </w:rPr>
      </w:pPr>
      <w:bookmarkStart w:id="50" w:name="_Toc88053813"/>
      <w:r>
        <w:rPr>
          <w:rFonts w:ascii="Times New Roman" w:hAnsi="Times New Roman" w:eastAsia="宋体"/>
          <w:b w:val="0"/>
          <w:bCs w:val="0"/>
          <w:caps w:val="0"/>
          <w:sz w:val="32"/>
          <w:szCs w:val="32"/>
        </w:rPr>
        <w:t>5.2</w:t>
      </w:r>
      <w:bookmarkStart w:id="51" w:name="_Hlk88380461"/>
      <w:r>
        <w:rPr>
          <w:rFonts w:hint="eastAsia" w:ascii="Times New Roman" w:hAnsi="Times New Roman" w:eastAsia="楷体_GB2312" w:cs="楷体_GB2312"/>
          <w:b w:val="0"/>
          <w:bCs w:val="0"/>
          <w:caps w:val="0"/>
          <w:sz w:val="32"/>
          <w:szCs w:val="32"/>
        </w:rPr>
        <w:t>水环境功能区</w:t>
      </w:r>
      <w:bookmarkEnd w:id="51"/>
      <w:r>
        <w:rPr>
          <w:rFonts w:hint="eastAsia" w:ascii="Times New Roman" w:hAnsi="Times New Roman" w:eastAsia="楷体_GB2312" w:cs="楷体_GB2312"/>
          <w:b w:val="0"/>
          <w:bCs w:val="0"/>
          <w:caps w:val="0"/>
          <w:sz w:val="32"/>
          <w:szCs w:val="32"/>
        </w:rPr>
        <w:t>划分</w:t>
      </w:r>
      <w:bookmarkEnd w:id="50"/>
    </w:p>
    <w:p>
      <w:pPr>
        <w:widowControl w:val="0"/>
        <w:wordWrap/>
        <w:adjustRightInd/>
        <w:snapToGrid/>
        <w:spacing w:line="240" w:lineRule="auto"/>
        <w:ind w:firstLine="632" w:firstLineChars="200"/>
        <w:textAlignment w:val="auto"/>
        <w:rPr>
          <w:rFonts w:ascii="Times New Roman" w:hAnsi="Times New Roman"/>
          <w:b/>
          <w:caps w:val="0"/>
          <w:sz w:val="32"/>
          <w:szCs w:val="32"/>
        </w:rPr>
      </w:pPr>
      <w:r>
        <w:rPr>
          <w:rFonts w:ascii="Times New Roman" w:hAnsi="Times New Roman"/>
          <w:b/>
          <w:caps w:val="0"/>
          <w:sz w:val="32"/>
          <w:szCs w:val="32"/>
        </w:rPr>
        <w:t>5.2.1地表水环境功能区划</w:t>
      </w:r>
    </w:p>
    <w:p>
      <w:pPr>
        <w:pStyle w:val="28"/>
        <w:widowControl w:val="0"/>
        <w:wordWrap/>
        <w:adjustRightInd/>
        <w:snapToGrid/>
        <w:spacing w:line="240" w:lineRule="auto"/>
        <w:ind w:firstLine="632" w:firstLineChars="200"/>
        <w:textAlignment w:val="auto"/>
        <w:rPr>
          <w:rFonts w:ascii="Times New Roman" w:hAnsi="Times New Roman" w:cs="Times New Roman"/>
          <w:bCs w:val="0"/>
          <w:caps w:val="0"/>
          <w:kern w:val="0"/>
          <w:sz w:val="32"/>
          <w:szCs w:val="32"/>
        </w:rPr>
      </w:pPr>
      <w:r>
        <w:rPr>
          <w:rFonts w:hint="eastAsia" w:ascii="Times New Roman" w:hAnsi="Times New Roman" w:eastAsia="仿宋_GB2312" w:cs="仿宋_GB2312"/>
          <w:caps w:val="0"/>
          <w:sz w:val="32"/>
          <w:szCs w:val="32"/>
        </w:rPr>
        <w:t>根据《广东省地表水环境功能区划》（粤府函〔2011〕9号）划分花都区地表水环境功能区。花都区主要河流功能区划见表5.2</w:t>
      </w:r>
      <w:r>
        <w:rPr>
          <w:rFonts w:hint="eastAsia" w:ascii="Times New Roman" w:hAnsi="Times New Roman" w:eastAsia="仿宋_GB2312" w:cs="仿宋_GB2312"/>
          <w:caps w:val="0"/>
          <w:kern w:val="0"/>
          <w:sz w:val="32"/>
          <w:szCs w:val="32"/>
        </w:rPr>
        <w:t>-</w:t>
      </w:r>
      <w:r>
        <w:rPr>
          <w:rFonts w:hint="eastAsia" w:ascii="Times New Roman" w:hAnsi="Times New Roman" w:eastAsia="仿宋_GB2312" w:cs="仿宋_GB2312"/>
          <w:caps w:val="0"/>
          <w:sz w:val="32"/>
          <w:szCs w:val="32"/>
        </w:rPr>
        <w:t>1，水库功能区划见表5.2</w:t>
      </w:r>
      <w:r>
        <w:rPr>
          <w:rFonts w:hint="eastAsia" w:ascii="Times New Roman" w:hAnsi="Times New Roman" w:eastAsia="仿宋_GB2312" w:cs="仿宋_GB2312"/>
          <w:caps w:val="0"/>
          <w:kern w:val="0"/>
          <w:sz w:val="32"/>
          <w:szCs w:val="32"/>
        </w:rPr>
        <w:t>-</w:t>
      </w:r>
      <w:r>
        <w:rPr>
          <w:rFonts w:hint="eastAsia" w:ascii="Times New Roman" w:hAnsi="Times New Roman" w:eastAsia="仿宋_GB2312" w:cs="仿宋_GB2312"/>
          <w:caps w:val="0"/>
          <w:sz w:val="32"/>
          <w:szCs w:val="32"/>
        </w:rPr>
        <w:t>2。</w:t>
      </w:r>
    </w:p>
    <w:p>
      <w:pPr>
        <w:pStyle w:val="28"/>
        <w:widowControl w:val="0"/>
        <w:wordWrap/>
        <w:adjustRightInd w:val="0"/>
        <w:snapToGrid/>
        <w:spacing w:line="640" w:lineRule="exact"/>
        <w:jc w:val="center"/>
        <w:textAlignment w:val="auto"/>
        <w:rPr>
          <w:rFonts w:ascii="Times New Roman" w:hAnsi="Times New Roman" w:cs="Times New Roman"/>
          <w:bCs/>
          <w:caps w:val="0"/>
          <w:sz w:val="24"/>
        </w:rPr>
      </w:pPr>
      <w:r>
        <w:rPr>
          <w:rFonts w:hint="eastAsia" w:ascii="Times New Roman" w:hAnsi="Times New Roman" w:eastAsia="黑体" w:cs="黑体"/>
          <w:bCs/>
          <w:caps w:val="0"/>
          <w:sz w:val="32"/>
          <w:szCs w:val="32"/>
        </w:rPr>
        <w:t xml:space="preserve">表5.2-1  </w:t>
      </w:r>
      <w:r>
        <w:rPr>
          <w:rFonts w:hint="eastAsia" w:ascii="Times New Roman" w:hAnsi="Times New Roman" w:eastAsia="黑体" w:cs="黑体"/>
          <w:caps w:val="0"/>
          <w:sz w:val="32"/>
          <w:szCs w:val="32"/>
        </w:rPr>
        <w:t>花都区河流水环境功能区划</w:t>
      </w:r>
    </w:p>
    <w:tbl>
      <w:tblPr>
        <w:tblStyle w:val="20"/>
        <w:tblW w:w="90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25"/>
        <w:gridCol w:w="2328"/>
        <w:gridCol w:w="1934"/>
        <w:gridCol w:w="1483"/>
        <w:gridCol w:w="13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blHeader/>
          <w:jc w:val="center"/>
        </w:trPr>
        <w:tc>
          <w:tcPr>
            <w:tcW w:w="1925" w:type="dxa"/>
            <w:tcBorders>
              <w:top w:val="single" w:color="auto" w:sz="4" w:space="0"/>
              <w:left w:val="single" w:color="auto" w:sz="4" w:space="0"/>
              <w:bottom w:val="single" w:color="auto" w:sz="4" w:space="0"/>
              <w:right w:val="single" w:color="auto" w:sz="4" w:space="0"/>
            </w:tcBorders>
            <w:vAlign w:val="center"/>
          </w:tcPr>
          <w:p>
            <w:pPr>
              <w:widowControl/>
              <w:wordWrap/>
              <w:adjustRightInd/>
              <w:snapToGrid/>
              <w:spacing w:line="360" w:lineRule="exact"/>
              <w:jc w:val="center"/>
              <w:textAlignment w:val="auto"/>
              <w:rPr>
                <w:rFonts w:hint="eastAsia" w:ascii="Times New Roman" w:hAnsi="Times New Roman" w:eastAsia="黑体" w:cs="黑体"/>
                <w:bCs/>
                <w:caps w:val="0"/>
                <w:kern w:val="0"/>
                <w:sz w:val="24"/>
                <w:szCs w:val="24"/>
              </w:rPr>
            </w:pPr>
            <w:r>
              <w:rPr>
                <w:rFonts w:hint="eastAsia" w:ascii="Times New Roman" w:hAnsi="Times New Roman" w:eastAsia="黑体" w:cs="黑体"/>
                <w:bCs/>
                <w:caps w:val="0"/>
                <w:kern w:val="0"/>
                <w:sz w:val="24"/>
                <w:szCs w:val="24"/>
              </w:rPr>
              <w:t>河流</w:t>
            </w:r>
          </w:p>
        </w:tc>
        <w:tc>
          <w:tcPr>
            <w:tcW w:w="2328" w:type="dxa"/>
            <w:tcBorders>
              <w:top w:val="single" w:color="auto" w:sz="4" w:space="0"/>
              <w:left w:val="nil"/>
              <w:bottom w:val="single" w:color="auto" w:sz="4" w:space="0"/>
              <w:right w:val="single" w:color="auto" w:sz="4" w:space="0"/>
            </w:tcBorders>
            <w:vAlign w:val="center"/>
          </w:tcPr>
          <w:p>
            <w:pPr>
              <w:widowControl/>
              <w:wordWrap/>
              <w:adjustRightInd/>
              <w:snapToGrid/>
              <w:spacing w:line="360" w:lineRule="exact"/>
              <w:jc w:val="center"/>
              <w:textAlignment w:val="auto"/>
              <w:rPr>
                <w:rFonts w:hint="eastAsia" w:ascii="Times New Roman" w:hAnsi="Times New Roman" w:eastAsia="黑体" w:cs="黑体"/>
                <w:bCs/>
                <w:caps w:val="0"/>
                <w:kern w:val="0"/>
                <w:sz w:val="24"/>
                <w:szCs w:val="24"/>
              </w:rPr>
            </w:pPr>
            <w:r>
              <w:rPr>
                <w:rFonts w:hint="eastAsia" w:ascii="Times New Roman" w:hAnsi="Times New Roman" w:eastAsia="黑体" w:cs="黑体"/>
                <w:bCs/>
                <w:caps w:val="0"/>
                <w:kern w:val="0"/>
                <w:sz w:val="24"/>
                <w:szCs w:val="24"/>
              </w:rPr>
              <w:t>起点</w:t>
            </w:r>
          </w:p>
        </w:tc>
        <w:tc>
          <w:tcPr>
            <w:tcW w:w="1934" w:type="dxa"/>
            <w:tcBorders>
              <w:top w:val="single" w:color="auto" w:sz="4" w:space="0"/>
              <w:left w:val="nil"/>
              <w:bottom w:val="single" w:color="auto" w:sz="4" w:space="0"/>
              <w:right w:val="single" w:color="auto" w:sz="4" w:space="0"/>
            </w:tcBorders>
            <w:vAlign w:val="center"/>
          </w:tcPr>
          <w:p>
            <w:pPr>
              <w:widowControl/>
              <w:wordWrap/>
              <w:adjustRightInd/>
              <w:snapToGrid/>
              <w:spacing w:line="360" w:lineRule="exact"/>
              <w:jc w:val="center"/>
              <w:textAlignment w:val="auto"/>
              <w:rPr>
                <w:rFonts w:hint="eastAsia" w:ascii="Times New Roman" w:hAnsi="Times New Roman" w:eastAsia="黑体" w:cs="黑体"/>
                <w:bCs/>
                <w:caps w:val="0"/>
                <w:kern w:val="0"/>
                <w:sz w:val="24"/>
                <w:szCs w:val="24"/>
              </w:rPr>
            </w:pPr>
            <w:r>
              <w:rPr>
                <w:rFonts w:hint="eastAsia" w:ascii="Times New Roman" w:hAnsi="Times New Roman" w:eastAsia="黑体" w:cs="黑体"/>
                <w:bCs/>
                <w:caps w:val="0"/>
                <w:kern w:val="0"/>
                <w:sz w:val="24"/>
                <w:szCs w:val="24"/>
              </w:rPr>
              <w:t>终点</w:t>
            </w:r>
          </w:p>
        </w:tc>
        <w:tc>
          <w:tcPr>
            <w:tcW w:w="1483" w:type="dxa"/>
            <w:tcBorders>
              <w:top w:val="single" w:color="auto" w:sz="4" w:space="0"/>
              <w:left w:val="nil"/>
              <w:bottom w:val="single" w:color="auto" w:sz="4" w:space="0"/>
              <w:right w:val="single" w:color="auto" w:sz="4" w:space="0"/>
            </w:tcBorders>
            <w:vAlign w:val="center"/>
          </w:tcPr>
          <w:p>
            <w:pPr>
              <w:widowControl/>
              <w:wordWrap/>
              <w:adjustRightInd/>
              <w:snapToGrid/>
              <w:spacing w:line="360" w:lineRule="exact"/>
              <w:jc w:val="center"/>
              <w:textAlignment w:val="auto"/>
              <w:rPr>
                <w:rFonts w:hint="eastAsia" w:ascii="Times New Roman" w:hAnsi="Times New Roman" w:eastAsia="黑体" w:cs="黑体"/>
                <w:bCs/>
                <w:caps w:val="0"/>
                <w:kern w:val="0"/>
                <w:sz w:val="24"/>
                <w:szCs w:val="24"/>
              </w:rPr>
            </w:pPr>
            <w:r>
              <w:rPr>
                <w:rFonts w:hint="eastAsia" w:ascii="Times New Roman" w:hAnsi="Times New Roman" w:eastAsia="黑体" w:cs="黑体"/>
                <w:bCs/>
                <w:caps w:val="0"/>
                <w:kern w:val="0"/>
                <w:sz w:val="24"/>
                <w:szCs w:val="24"/>
              </w:rPr>
              <w:t>长度(公里)</w:t>
            </w:r>
          </w:p>
        </w:tc>
        <w:tc>
          <w:tcPr>
            <w:tcW w:w="1391" w:type="dxa"/>
            <w:tcBorders>
              <w:top w:val="single" w:color="auto" w:sz="4" w:space="0"/>
              <w:left w:val="nil"/>
              <w:bottom w:val="single" w:color="auto" w:sz="4" w:space="0"/>
              <w:right w:val="single" w:color="auto" w:sz="4" w:space="0"/>
            </w:tcBorders>
            <w:vAlign w:val="center"/>
          </w:tcPr>
          <w:p>
            <w:pPr>
              <w:widowControl/>
              <w:wordWrap/>
              <w:adjustRightInd/>
              <w:snapToGrid/>
              <w:spacing w:line="360" w:lineRule="exact"/>
              <w:jc w:val="center"/>
              <w:textAlignment w:val="auto"/>
              <w:rPr>
                <w:rFonts w:hint="eastAsia" w:ascii="Times New Roman" w:hAnsi="Times New Roman" w:eastAsia="黑体" w:cs="黑体"/>
                <w:bCs/>
                <w:caps w:val="0"/>
                <w:kern w:val="0"/>
                <w:sz w:val="24"/>
                <w:szCs w:val="24"/>
              </w:rPr>
            </w:pPr>
            <w:r>
              <w:rPr>
                <w:rFonts w:hint="eastAsia" w:ascii="Times New Roman" w:hAnsi="Times New Roman" w:eastAsia="黑体" w:cs="黑体"/>
                <w:bCs/>
                <w:caps w:val="0"/>
                <w:kern w:val="0"/>
                <w:sz w:val="24"/>
                <w:szCs w:val="24"/>
              </w:rPr>
              <w:t>水质目标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nil"/>
              <w:left w:val="single" w:color="auto" w:sz="4" w:space="0"/>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流溪河</w:t>
            </w:r>
          </w:p>
        </w:tc>
        <w:tc>
          <w:tcPr>
            <w:tcW w:w="2328"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从化鹅公头</w:t>
            </w:r>
          </w:p>
        </w:tc>
        <w:tc>
          <w:tcPr>
            <w:tcW w:w="1934"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花都李溪坝</w:t>
            </w:r>
          </w:p>
        </w:tc>
        <w:tc>
          <w:tcPr>
            <w:tcW w:w="1483"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49.4</w:t>
            </w:r>
          </w:p>
        </w:tc>
        <w:tc>
          <w:tcPr>
            <w:tcW w:w="1391"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nil"/>
              <w:left w:val="single" w:color="auto" w:sz="4" w:space="0"/>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流溪河</w:t>
            </w:r>
          </w:p>
        </w:tc>
        <w:tc>
          <w:tcPr>
            <w:tcW w:w="2328"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花都李溪坝</w:t>
            </w:r>
          </w:p>
        </w:tc>
        <w:tc>
          <w:tcPr>
            <w:tcW w:w="1934"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广州鸦岗</w:t>
            </w:r>
          </w:p>
        </w:tc>
        <w:tc>
          <w:tcPr>
            <w:tcW w:w="1483"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33.4</w:t>
            </w:r>
          </w:p>
        </w:tc>
        <w:tc>
          <w:tcPr>
            <w:tcW w:w="1391"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nil"/>
              <w:left w:val="single" w:color="auto" w:sz="4" w:space="0"/>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天马河</w:t>
            </w:r>
          </w:p>
        </w:tc>
        <w:tc>
          <w:tcPr>
            <w:tcW w:w="2328"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花都磨石顶</w:t>
            </w:r>
          </w:p>
        </w:tc>
        <w:tc>
          <w:tcPr>
            <w:tcW w:w="1934"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洪秀全水库</w:t>
            </w:r>
          </w:p>
        </w:tc>
        <w:tc>
          <w:tcPr>
            <w:tcW w:w="1483"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27.9</w:t>
            </w:r>
          </w:p>
        </w:tc>
        <w:tc>
          <w:tcPr>
            <w:tcW w:w="1391"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nil"/>
              <w:left w:val="single" w:color="auto" w:sz="4" w:space="0"/>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天马河</w:t>
            </w:r>
          </w:p>
        </w:tc>
        <w:tc>
          <w:tcPr>
            <w:tcW w:w="2328"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秀全水库坝下海布</w:t>
            </w:r>
          </w:p>
        </w:tc>
        <w:tc>
          <w:tcPr>
            <w:tcW w:w="1934"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新街河口罗溪</w:t>
            </w:r>
          </w:p>
        </w:tc>
        <w:tc>
          <w:tcPr>
            <w:tcW w:w="1483"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10.4</w:t>
            </w:r>
          </w:p>
        </w:tc>
        <w:tc>
          <w:tcPr>
            <w:tcW w:w="1391"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nil"/>
              <w:left w:val="single" w:color="auto" w:sz="4" w:space="0"/>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流溪河花干渠</w:t>
            </w:r>
          </w:p>
        </w:tc>
        <w:tc>
          <w:tcPr>
            <w:tcW w:w="2328"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花都梨园</w:t>
            </w:r>
          </w:p>
        </w:tc>
        <w:tc>
          <w:tcPr>
            <w:tcW w:w="1934"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花都新杨村</w:t>
            </w:r>
          </w:p>
        </w:tc>
        <w:tc>
          <w:tcPr>
            <w:tcW w:w="1483"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15.6</w:t>
            </w:r>
          </w:p>
        </w:tc>
        <w:tc>
          <w:tcPr>
            <w:tcW w:w="1391"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nil"/>
              <w:left w:val="single" w:color="auto" w:sz="4" w:space="0"/>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流溪河右灌渠</w:t>
            </w:r>
          </w:p>
        </w:tc>
        <w:tc>
          <w:tcPr>
            <w:tcW w:w="2328"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从化大坳坝</w:t>
            </w:r>
          </w:p>
        </w:tc>
        <w:tc>
          <w:tcPr>
            <w:tcW w:w="1934"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花都梨园</w:t>
            </w:r>
          </w:p>
        </w:tc>
        <w:tc>
          <w:tcPr>
            <w:tcW w:w="1483"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27</w:t>
            </w:r>
          </w:p>
        </w:tc>
        <w:tc>
          <w:tcPr>
            <w:tcW w:w="1391"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nil"/>
              <w:left w:val="single" w:color="auto" w:sz="4" w:space="0"/>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九湾潭</w:t>
            </w:r>
          </w:p>
        </w:tc>
        <w:tc>
          <w:tcPr>
            <w:tcW w:w="2328"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花都鸡枕山</w:t>
            </w:r>
          </w:p>
        </w:tc>
        <w:tc>
          <w:tcPr>
            <w:tcW w:w="1934"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花都白鹤</w:t>
            </w:r>
          </w:p>
        </w:tc>
        <w:tc>
          <w:tcPr>
            <w:tcW w:w="1483"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12</w:t>
            </w:r>
          </w:p>
        </w:tc>
        <w:tc>
          <w:tcPr>
            <w:tcW w:w="1391"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nil"/>
              <w:left w:val="single" w:color="auto" w:sz="4" w:space="0"/>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九湾潭</w:t>
            </w:r>
          </w:p>
        </w:tc>
        <w:tc>
          <w:tcPr>
            <w:tcW w:w="2328"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花都白鹤</w:t>
            </w:r>
          </w:p>
        </w:tc>
        <w:tc>
          <w:tcPr>
            <w:tcW w:w="1934"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花都北兴</w:t>
            </w:r>
          </w:p>
        </w:tc>
        <w:tc>
          <w:tcPr>
            <w:tcW w:w="1483"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11.1</w:t>
            </w:r>
          </w:p>
        </w:tc>
        <w:tc>
          <w:tcPr>
            <w:tcW w:w="1391"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nil"/>
              <w:left w:val="single" w:color="auto" w:sz="4" w:space="0"/>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白坭河</w:t>
            </w:r>
          </w:p>
        </w:tc>
        <w:tc>
          <w:tcPr>
            <w:tcW w:w="2328"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扶基头</w:t>
            </w:r>
          </w:p>
        </w:tc>
        <w:tc>
          <w:tcPr>
            <w:tcW w:w="1934"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埗云</w:t>
            </w:r>
          </w:p>
        </w:tc>
        <w:tc>
          <w:tcPr>
            <w:tcW w:w="1483"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41.1</w:t>
            </w:r>
          </w:p>
        </w:tc>
        <w:tc>
          <w:tcPr>
            <w:tcW w:w="1391"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nil"/>
              <w:left w:val="single" w:color="auto" w:sz="4" w:space="0"/>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白坭河</w:t>
            </w:r>
          </w:p>
        </w:tc>
        <w:tc>
          <w:tcPr>
            <w:tcW w:w="2328"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埗云</w:t>
            </w:r>
          </w:p>
        </w:tc>
        <w:tc>
          <w:tcPr>
            <w:tcW w:w="1934"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小塘</w:t>
            </w:r>
          </w:p>
        </w:tc>
        <w:tc>
          <w:tcPr>
            <w:tcW w:w="1483"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2.2</w:t>
            </w:r>
          </w:p>
        </w:tc>
        <w:tc>
          <w:tcPr>
            <w:tcW w:w="1391"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nil"/>
              <w:left w:val="single" w:color="auto" w:sz="4" w:space="0"/>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白坭河</w:t>
            </w:r>
          </w:p>
        </w:tc>
        <w:tc>
          <w:tcPr>
            <w:tcW w:w="2328"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小塘</w:t>
            </w:r>
          </w:p>
        </w:tc>
        <w:tc>
          <w:tcPr>
            <w:tcW w:w="1934"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鸦岗</w:t>
            </w:r>
          </w:p>
        </w:tc>
        <w:tc>
          <w:tcPr>
            <w:tcW w:w="1483"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13.7</w:t>
            </w:r>
          </w:p>
        </w:tc>
        <w:tc>
          <w:tcPr>
            <w:tcW w:w="1391"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nil"/>
              <w:left w:val="single" w:color="auto" w:sz="4" w:space="0"/>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新街河</w:t>
            </w:r>
          </w:p>
        </w:tc>
        <w:tc>
          <w:tcPr>
            <w:tcW w:w="2328"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羊石顶</w:t>
            </w:r>
          </w:p>
        </w:tc>
        <w:tc>
          <w:tcPr>
            <w:tcW w:w="1934"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五和</w:t>
            </w:r>
          </w:p>
        </w:tc>
        <w:tc>
          <w:tcPr>
            <w:tcW w:w="1483"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33.4</w:t>
            </w:r>
          </w:p>
        </w:tc>
        <w:tc>
          <w:tcPr>
            <w:tcW w:w="1391" w:type="dxa"/>
            <w:tcBorders>
              <w:top w:val="nil"/>
              <w:left w:val="nil"/>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single" w:color="auto" w:sz="4" w:space="0"/>
              <w:left w:val="single" w:color="auto" w:sz="4" w:space="0"/>
              <w:bottom w:val="single" w:color="auto" w:sz="6"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九曲河</w:t>
            </w:r>
          </w:p>
        </w:tc>
        <w:tc>
          <w:tcPr>
            <w:tcW w:w="2328" w:type="dxa"/>
            <w:tcBorders>
              <w:top w:val="single" w:color="auto" w:sz="4" w:space="0"/>
              <w:left w:val="single" w:color="auto" w:sz="6" w:space="0"/>
              <w:bottom w:val="single" w:color="auto" w:sz="6"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花都门口坑</w:t>
            </w:r>
          </w:p>
        </w:tc>
        <w:tc>
          <w:tcPr>
            <w:tcW w:w="1934" w:type="dxa"/>
            <w:tcBorders>
              <w:top w:val="single" w:color="auto" w:sz="4" w:space="0"/>
              <w:left w:val="single" w:color="auto" w:sz="6" w:space="0"/>
              <w:bottom w:val="single" w:color="auto" w:sz="6"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花都白坭</w:t>
            </w:r>
          </w:p>
        </w:tc>
        <w:tc>
          <w:tcPr>
            <w:tcW w:w="1483" w:type="dxa"/>
            <w:tcBorders>
              <w:top w:val="single" w:color="auto" w:sz="4" w:space="0"/>
              <w:left w:val="single" w:color="auto" w:sz="6" w:space="0"/>
              <w:bottom w:val="single" w:color="auto" w:sz="6" w:space="0"/>
              <w:right w:val="single" w:color="auto" w:sz="6"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4.6</w:t>
            </w:r>
          </w:p>
        </w:tc>
        <w:tc>
          <w:tcPr>
            <w:tcW w:w="1391" w:type="dxa"/>
            <w:tcBorders>
              <w:top w:val="single" w:color="auto" w:sz="4" w:space="0"/>
              <w:left w:val="single" w:color="auto" w:sz="6" w:space="0"/>
              <w:bottom w:val="single" w:color="auto" w:sz="6"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single" w:color="auto" w:sz="6" w:space="0"/>
              <w:left w:val="single" w:color="auto" w:sz="4"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田美河</w:t>
            </w:r>
          </w:p>
        </w:tc>
        <w:tc>
          <w:tcPr>
            <w:tcW w:w="2328"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老鼠庄</w:t>
            </w:r>
          </w:p>
        </w:tc>
        <w:tc>
          <w:tcPr>
            <w:tcW w:w="1934"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雅瑶</w:t>
            </w:r>
          </w:p>
        </w:tc>
        <w:tc>
          <w:tcPr>
            <w:tcW w:w="1483"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ascii="Times New Roman" w:hAnsi="Times New Roman"/>
                <w:bCs/>
                <w:caps w:val="0"/>
                <w:kern w:val="0"/>
                <w:sz w:val="21"/>
                <w:szCs w:val="21"/>
              </w:rPr>
            </w:pPr>
            <w:r>
              <w:rPr>
                <w:rFonts w:ascii="Times New Roman" w:hAnsi="Times New Roman"/>
                <w:bCs/>
                <w:caps w:val="0"/>
                <w:kern w:val="0"/>
                <w:sz w:val="21"/>
                <w:szCs w:val="21"/>
              </w:rPr>
              <w:t>4.4</w:t>
            </w:r>
          </w:p>
        </w:tc>
        <w:tc>
          <w:tcPr>
            <w:tcW w:w="1391" w:type="dxa"/>
            <w:tcBorders>
              <w:top w:val="single" w:color="auto" w:sz="6" w:space="0"/>
              <w:left w:val="single" w:color="auto" w:sz="6" w:space="0"/>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bCs/>
                <w:caps w:val="0"/>
                <w:kern w:val="0"/>
                <w:sz w:val="21"/>
                <w:szCs w:val="21"/>
              </w:rPr>
            </w:pPr>
            <w:r>
              <w:rPr>
                <w:rFonts w:ascii="Times New Roman" w:hAnsi="Times New Roman"/>
                <w:bCs/>
                <w:caps w:val="0"/>
                <w:kern w:val="0"/>
                <w:sz w:val="21"/>
                <w:szCs w:val="21"/>
              </w:rPr>
              <w:t>IV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single" w:color="auto" w:sz="6" w:space="0"/>
              <w:left w:val="single" w:color="auto" w:sz="4"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高溪河</w:t>
            </w:r>
          </w:p>
        </w:tc>
        <w:tc>
          <w:tcPr>
            <w:tcW w:w="2328"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黄洞</w:t>
            </w:r>
          </w:p>
        </w:tc>
        <w:tc>
          <w:tcPr>
            <w:tcW w:w="1934"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南田</w:t>
            </w:r>
          </w:p>
        </w:tc>
        <w:tc>
          <w:tcPr>
            <w:tcW w:w="1483"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12</w:t>
            </w:r>
          </w:p>
        </w:tc>
        <w:tc>
          <w:tcPr>
            <w:tcW w:w="1391" w:type="dxa"/>
            <w:tcBorders>
              <w:top w:val="single" w:color="auto" w:sz="6" w:space="0"/>
              <w:left w:val="single" w:color="auto" w:sz="6" w:space="0"/>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IV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single" w:color="auto" w:sz="6" w:space="0"/>
              <w:left w:val="single" w:color="auto" w:sz="4" w:space="0"/>
              <w:bottom w:val="single" w:color="auto" w:sz="4" w:space="0"/>
              <w:right w:val="single" w:color="auto" w:sz="6" w:space="0"/>
            </w:tcBorders>
            <w:vAlign w:val="top"/>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老山水</w:t>
            </w:r>
          </w:p>
        </w:tc>
        <w:tc>
          <w:tcPr>
            <w:tcW w:w="2328" w:type="dxa"/>
            <w:tcBorders>
              <w:top w:val="single" w:color="auto" w:sz="6" w:space="0"/>
              <w:left w:val="single" w:color="auto" w:sz="6" w:space="0"/>
              <w:bottom w:val="single" w:color="auto" w:sz="4" w:space="0"/>
              <w:right w:val="single" w:color="auto" w:sz="6" w:space="0"/>
            </w:tcBorders>
            <w:vAlign w:val="top"/>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南蛇头</w:t>
            </w:r>
          </w:p>
        </w:tc>
        <w:tc>
          <w:tcPr>
            <w:tcW w:w="1934" w:type="dxa"/>
            <w:tcBorders>
              <w:top w:val="single" w:color="auto" w:sz="6" w:space="0"/>
              <w:left w:val="single" w:color="auto" w:sz="6" w:space="0"/>
              <w:bottom w:val="single" w:color="auto" w:sz="4" w:space="0"/>
              <w:right w:val="single" w:color="auto" w:sz="6" w:space="0"/>
            </w:tcBorders>
            <w:vAlign w:val="top"/>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马田</w:t>
            </w:r>
          </w:p>
        </w:tc>
        <w:tc>
          <w:tcPr>
            <w:tcW w:w="1483" w:type="dxa"/>
            <w:tcBorders>
              <w:top w:val="single" w:color="auto" w:sz="6" w:space="0"/>
              <w:left w:val="single" w:color="auto" w:sz="6" w:space="0"/>
              <w:bottom w:val="single" w:color="auto" w:sz="4" w:space="0"/>
              <w:right w:val="single" w:color="auto" w:sz="6" w:space="0"/>
            </w:tcBorders>
            <w:vAlign w:val="top"/>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9</w:t>
            </w:r>
          </w:p>
        </w:tc>
        <w:tc>
          <w:tcPr>
            <w:tcW w:w="1391" w:type="dxa"/>
            <w:tcBorders>
              <w:top w:val="single" w:color="auto" w:sz="6" w:space="0"/>
              <w:left w:val="single" w:color="auto" w:sz="6" w:space="0"/>
              <w:bottom w:val="single" w:color="auto" w:sz="4" w:space="0"/>
              <w:right w:val="single" w:color="auto" w:sz="4" w:space="0"/>
            </w:tcBorders>
            <w:vAlign w:val="top"/>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IV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single" w:color="auto" w:sz="6" w:space="0"/>
              <w:left w:val="single" w:color="auto" w:sz="4" w:space="0"/>
              <w:bottom w:val="single" w:color="auto" w:sz="4" w:space="0"/>
              <w:right w:val="single" w:color="auto" w:sz="6" w:space="0"/>
            </w:tcBorders>
            <w:vAlign w:val="top"/>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老山水</w:t>
            </w:r>
          </w:p>
        </w:tc>
        <w:tc>
          <w:tcPr>
            <w:tcW w:w="2328" w:type="dxa"/>
            <w:tcBorders>
              <w:top w:val="single" w:color="auto" w:sz="6" w:space="0"/>
              <w:left w:val="single" w:color="auto" w:sz="6" w:space="0"/>
              <w:bottom w:val="single" w:color="auto" w:sz="4" w:space="0"/>
              <w:right w:val="single" w:color="auto" w:sz="6" w:space="0"/>
            </w:tcBorders>
            <w:vAlign w:val="top"/>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马田</w:t>
            </w:r>
          </w:p>
        </w:tc>
        <w:tc>
          <w:tcPr>
            <w:tcW w:w="1934" w:type="dxa"/>
            <w:tcBorders>
              <w:top w:val="single" w:color="auto" w:sz="6" w:space="0"/>
              <w:left w:val="single" w:color="auto" w:sz="6" w:space="0"/>
              <w:bottom w:val="single" w:color="auto" w:sz="4" w:space="0"/>
              <w:right w:val="single" w:color="auto" w:sz="6" w:space="0"/>
            </w:tcBorders>
            <w:vAlign w:val="top"/>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石角</w:t>
            </w:r>
          </w:p>
        </w:tc>
        <w:tc>
          <w:tcPr>
            <w:tcW w:w="1483" w:type="dxa"/>
            <w:tcBorders>
              <w:top w:val="single" w:color="auto" w:sz="6" w:space="0"/>
              <w:left w:val="single" w:color="auto" w:sz="6" w:space="0"/>
              <w:bottom w:val="single" w:color="auto" w:sz="4" w:space="0"/>
              <w:right w:val="single" w:color="auto" w:sz="6" w:space="0"/>
            </w:tcBorders>
            <w:vAlign w:val="top"/>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1</w:t>
            </w:r>
          </w:p>
        </w:tc>
        <w:tc>
          <w:tcPr>
            <w:tcW w:w="1391" w:type="dxa"/>
            <w:tcBorders>
              <w:top w:val="single" w:color="auto" w:sz="6" w:space="0"/>
              <w:left w:val="single" w:color="auto" w:sz="6" w:space="0"/>
              <w:bottom w:val="single" w:color="auto" w:sz="4" w:space="0"/>
              <w:right w:val="single" w:color="auto" w:sz="4" w:space="0"/>
            </w:tcBorders>
            <w:vAlign w:val="top"/>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III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single" w:color="auto" w:sz="6" w:space="0"/>
              <w:left w:val="single" w:color="auto" w:sz="4" w:space="0"/>
              <w:bottom w:val="single" w:color="auto" w:sz="4" w:space="0"/>
              <w:right w:val="single" w:color="auto" w:sz="6" w:space="0"/>
            </w:tcBorders>
            <w:vAlign w:val="top"/>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老牛山河</w:t>
            </w:r>
          </w:p>
        </w:tc>
        <w:tc>
          <w:tcPr>
            <w:tcW w:w="2328" w:type="dxa"/>
            <w:tcBorders>
              <w:top w:val="single" w:color="auto" w:sz="6" w:space="0"/>
              <w:left w:val="single" w:color="auto" w:sz="6" w:space="0"/>
              <w:bottom w:val="single" w:color="auto" w:sz="4" w:space="0"/>
              <w:right w:val="single" w:color="auto" w:sz="6" w:space="0"/>
            </w:tcBorders>
            <w:vAlign w:val="top"/>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华侨农场</w:t>
            </w:r>
          </w:p>
        </w:tc>
        <w:tc>
          <w:tcPr>
            <w:tcW w:w="1934" w:type="dxa"/>
            <w:tcBorders>
              <w:top w:val="single" w:color="auto" w:sz="6" w:space="0"/>
              <w:left w:val="single" w:color="auto" w:sz="6" w:space="0"/>
              <w:bottom w:val="single" w:color="auto" w:sz="4" w:space="0"/>
              <w:right w:val="single" w:color="auto" w:sz="6" w:space="0"/>
            </w:tcBorders>
            <w:vAlign w:val="top"/>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老牛山</w:t>
            </w:r>
          </w:p>
        </w:tc>
        <w:tc>
          <w:tcPr>
            <w:tcW w:w="1483" w:type="dxa"/>
            <w:tcBorders>
              <w:top w:val="single" w:color="auto" w:sz="6" w:space="0"/>
              <w:left w:val="single" w:color="auto" w:sz="6" w:space="0"/>
              <w:bottom w:val="single" w:color="auto" w:sz="4" w:space="0"/>
              <w:right w:val="single" w:color="auto" w:sz="6" w:space="0"/>
            </w:tcBorders>
            <w:vAlign w:val="top"/>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3</w:t>
            </w:r>
          </w:p>
        </w:tc>
        <w:tc>
          <w:tcPr>
            <w:tcW w:w="1391" w:type="dxa"/>
            <w:tcBorders>
              <w:top w:val="single" w:color="auto" w:sz="6" w:space="0"/>
              <w:left w:val="single" w:color="auto" w:sz="6" w:space="0"/>
              <w:bottom w:val="single" w:color="auto" w:sz="4" w:space="0"/>
              <w:right w:val="single" w:color="auto" w:sz="4" w:space="0"/>
            </w:tcBorders>
            <w:vAlign w:val="top"/>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IV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single" w:color="auto" w:sz="6" w:space="0"/>
              <w:left w:val="single" w:color="auto" w:sz="4" w:space="0"/>
              <w:bottom w:val="single" w:color="auto" w:sz="4" w:space="0"/>
              <w:right w:val="single" w:color="auto" w:sz="6" w:space="0"/>
            </w:tcBorders>
            <w:vAlign w:val="top"/>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老牛山河</w:t>
            </w:r>
          </w:p>
        </w:tc>
        <w:tc>
          <w:tcPr>
            <w:tcW w:w="2328" w:type="dxa"/>
            <w:tcBorders>
              <w:top w:val="single" w:color="auto" w:sz="6" w:space="0"/>
              <w:left w:val="single" w:color="auto" w:sz="6" w:space="0"/>
              <w:bottom w:val="single" w:color="auto" w:sz="4" w:space="0"/>
              <w:right w:val="single" w:color="auto" w:sz="6" w:space="0"/>
            </w:tcBorders>
            <w:vAlign w:val="top"/>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老牛山</w:t>
            </w:r>
          </w:p>
        </w:tc>
        <w:tc>
          <w:tcPr>
            <w:tcW w:w="1934" w:type="dxa"/>
            <w:tcBorders>
              <w:top w:val="single" w:color="auto" w:sz="6" w:space="0"/>
              <w:left w:val="single" w:color="auto" w:sz="6" w:space="0"/>
              <w:bottom w:val="single" w:color="auto" w:sz="4" w:space="0"/>
              <w:right w:val="single" w:color="auto" w:sz="6" w:space="0"/>
            </w:tcBorders>
            <w:vAlign w:val="top"/>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流溪河</w:t>
            </w:r>
          </w:p>
        </w:tc>
        <w:tc>
          <w:tcPr>
            <w:tcW w:w="1483" w:type="dxa"/>
            <w:tcBorders>
              <w:top w:val="single" w:color="auto" w:sz="6" w:space="0"/>
              <w:left w:val="single" w:color="auto" w:sz="6" w:space="0"/>
              <w:bottom w:val="single" w:color="auto" w:sz="4" w:space="0"/>
              <w:right w:val="single" w:color="auto" w:sz="6" w:space="0"/>
            </w:tcBorders>
            <w:vAlign w:val="top"/>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1</w:t>
            </w:r>
          </w:p>
        </w:tc>
        <w:tc>
          <w:tcPr>
            <w:tcW w:w="1391" w:type="dxa"/>
            <w:tcBorders>
              <w:top w:val="single" w:color="auto" w:sz="6" w:space="0"/>
              <w:left w:val="single" w:color="auto" w:sz="6" w:space="0"/>
              <w:bottom w:val="single" w:color="auto" w:sz="4" w:space="0"/>
              <w:right w:val="single" w:color="auto" w:sz="4" w:space="0"/>
            </w:tcBorders>
            <w:vAlign w:val="top"/>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III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single" w:color="auto" w:sz="6" w:space="0"/>
              <w:left w:val="single" w:color="auto" w:sz="4"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雅瑶涌</w:t>
            </w:r>
          </w:p>
        </w:tc>
        <w:tc>
          <w:tcPr>
            <w:tcW w:w="2328"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东莞村</w:t>
            </w:r>
          </w:p>
        </w:tc>
        <w:tc>
          <w:tcPr>
            <w:tcW w:w="1934"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雅瑶</w:t>
            </w:r>
          </w:p>
        </w:tc>
        <w:tc>
          <w:tcPr>
            <w:tcW w:w="1483"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6.2</w:t>
            </w:r>
          </w:p>
        </w:tc>
        <w:tc>
          <w:tcPr>
            <w:tcW w:w="1391" w:type="dxa"/>
            <w:tcBorders>
              <w:top w:val="single" w:color="auto" w:sz="6" w:space="0"/>
              <w:left w:val="single" w:color="auto" w:sz="6" w:space="0"/>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IV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single" w:color="auto" w:sz="6" w:space="0"/>
              <w:left w:val="single" w:color="auto" w:sz="4"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铜鼓坑</w:t>
            </w:r>
          </w:p>
        </w:tc>
        <w:tc>
          <w:tcPr>
            <w:tcW w:w="2328"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狮洞</w:t>
            </w:r>
          </w:p>
        </w:tc>
        <w:tc>
          <w:tcPr>
            <w:tcW w:w="1934"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莲塘</w:t>
            </w:r>
          </w:p>
        </w:tc>
        <w:tc>
          <w:tcPr>
            <w:tcW w:w="1483"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ascii="Times New Roman" w:hAnsi="Times New Roman"/>
                <w:bCs/>
                <w:caps w:val="0"/>
                <w:kern w:val="0"/>
                <w:sz w:val="21"/>
                <w:szCs w:val="21"/>
              </w:rPr>
            </w:pPr>
            <w:r>
              <w:rPr>
                <w:rFonts w:ascii="Times New Roman" w:hAnsi="Times New Roman"/>
                <w:bCs/>
                <w:caps w:val="0"/>
                <w:kern w:val="0"/>
                <w:sz w:val="21"/>
                <w:szCs w:val="21"/>
              </w:rPr>
              <w:t>15.5</w:t>
            </w:r>
          </w:p>
        </w:tc>
        <w:tc>
          <w:tcPr>
            <w:tcW w:w="1391" w:type="dxa"/>
            <w:tcBorders>
              <w:top w:val="single" w:color="auto" w:sz="6" w:space="0"/>
              <w:left w:val="single" w:color="auto" w:sz="6" w:space="0"/>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bCs/>
                <w:caps w:val="0"/>
                <w:kern w:val="0"/>
                <w:sz w:val="21"/>
                <w:szCs w:val="21"/>
              </w:rPr>
            </w:pPr>
            <w:r>
              <w:rPr>
                <w:rFonts w:ascii="Times New Roman" w:hAnsi="Times New Roman"/>
                <w:bCs/>
                <w:caps w:val="0"/>
                <w:kern w:val="0"/>
                <w:sz w:val="21"/>
                <w:szCs w:val="21"/>
              </w:rPr>
              <w:t>IV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single" w:color="auto" w:sz="6" w:space="0"/>
              <w:left w:val="single" w:color="auto" w:sz="4"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网顶河</w:t>
            </w:r>
          </w:p>
        </w:tc>
        <w:tc>
          <w:tcPr>
            <w:tcW w:w="2328"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北兴</w:t>
            </w:r>
          </w:p>
        </w:tc>
        <w:tc>
          <w:tcPr>
            <w:tcW w:w="1934"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港头桥</w:t>
            </w:r>
          </w:p>
        </w:tc>
        <w:tc>
          <w:tcPr>
            <w:tcW w:w="1483"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ascii="Times New Roman" w:hAnsi="Times New Roman"/>
                <w:bCs/>
                <w:caps w:val="0"/>
                <w:kern w:val="0"/>
                <w:sz w:val="21"/>
                <w:szCs w:val="21"/>
              </w:rPr>
            </w:pPr>
            <w:r>
              <w:rPr>
                <w:rFonts w:ascii="Times New Roman" w:hAnsi="Times New Roman"/>
                <w:bCs/>
                <w:caps w:val="0"/>
                <w:kern w:val="0"/>
                <w:sz w:val="21"/>
                <w:szCs w:val="21"/>
              </w:rPr>
              <w:t>1.7</w:t>
            </w:r>
          </w:p>
        </w:tc>
        <w:tc>
          <w:tcPr>
            <w:tcW w:w="1391" w:type="dxa"/>
            <w:tcBorders>
              <w:top w:val="single" w:color="auto" w:sz="6" w:space="0"/>
              <w:left w:val="single" w:color="auto" w:sz="6" w:space="0"/>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bCs/>
                <w:caps w:val="0"/>
                <w:kern w:val="0"/>
                <w:sz w:val="21"/>
                <w:szCs w:val="21"/>
              </w:rPr>
            </w:pPr>
            <w:r>
              <w:rPr>
                <w:rFonts w:ascii="Times New Roman" w:hAnsi="Times New Roman"/>
                <w:bCs/>
                <w:caps w:val="0"/>
                <w:kern w:val="0"/>
                <w:sz w:val="21"/>
                <w:szCs w:val="21"/>
              </w:rPr>
              <w:t>IV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single" w:color="auto" w:sz="6" w:space="0"/>
              <w:left w:val="single" w:color="auto" w:sz="4"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网顶河</w:t>
            </w:r>
          </w:p>
        </w:tc>
        <w:tc>
          <w:tcPr>
            <w:tcW w:w="2328"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港头桥</w:t>
            </w:r>
          </w:p>
        </w:tc>
        <w:tc>
          <w:tcPr>
            <w:tcW w:w="1934"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流溪河</w:t>
            </w:r>
          </w:p>
        </w:tc>
        <w:tc>
          <w:tcPr>
            <w:tcW w:w="1483"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ascii="Times New Roman" w:hAnsi="Times New Roman"/>
                <w:bCs/>
                <w:caps w:val="0"/>
                <w:kern w:val="0"/>
                <w:sz w:val="21"/>
                <w:szCs w:val="21"/>
              </w:rPr>
            </w:pPr>
            <w:r>
              <w:rPr>
                <w:rFonts w:ascii="Times New Roman" w:hAnsi="Times New Roman"/>
                <w:bCs/>
                <w:caps w:val="0"/>
                <w:kern w:val="0"/>
                <w:sz w:val="21"/>
                <w:szCs w:val="21"/>
              </w:rPr>
              <w:t>1</w:t>
            </w:r>
          </w:p>
        </w:tc>
        <w:tc>
          <w:tcPr>
            <w:tcW w:w="1391" w:type="dxa"/>
            <w:tcBorders>
              <w:top w:val="single" w:color="auto" w:sz="6" w:space="0"/>
              <w:left w:val="single" w:color="auto" w:sz="6" w:space="0"/>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bCs/>
                <w:caps w:val="0"/>
                <w:kern w:val="0"/>
                <w:sz w:val="21"/>
                <w:szCs w:val="21"/>
              </w:rPr>
            </w:pPr>
            <w:r>
              <w:rPr>
                <w:rFonts w:ascii="Times New Roman" w:hAnsi="Times New Roman"/>
                <w:bCs/>
                <w:caps w:val="0"/>
                <w:kern w:val="0"/>
                <w:sz w:val="21"/>
                <w:szCs w:val="21"/>
              </w:rPr>
              <w:t>III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single" w:color="auto" w:sz="6" w:space="0"/>
              <w:left w:val="single" w:color="auto" w:sz="4"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鲤鱼涌</w:t>
            </w:r>
          </w:p>
        </w:tc>
        <w:tc>
          <w:tcPr>
            <w:tcW w:w="2328"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炭步农场</w:t>
            </w:r>
          </w:p>
        </w:tc>
        <w:tc>
          <w:tcPr>
            <w:tcW w:w="1934"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朗头</w:t>
            </w:r>
          </w:p>
        </w:tc>
        <w:tc>
          <w:tcPr>
            <w:tcW w:w="1483"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ascii="Times New Roman" w:hAnsi="Times New Roman"/>
                <w:bCs/>
                <w:caps w:val="0"/>
                <w:kern w:val="0"/>
                <w:sz w:val="21"/>
                <w:szCs w:val="21"/>
              </w:rPr>
            </w:pPr>
            <w:r>
              <w:rPr>
                <w:rFonts w:ascii="Times New Roman" w:hAnsi="Times New Roman"/>
                <w:bCs/>
                <w:caps w:val="0"/>
                <w:kern w:val="0"/>
                <w:sz w:val="21"/>
                <w:szCs w:val="21"/>
              </w:rPr>
              <w:t>3.3</w:t>
            </w:r>
          </w:p>
        </w:tc>
        <w:tc>
          <w:tcPr>
            <w:tcW w:w="1391" w:type="dxa"/>
            <w:tcBorders>
              <w:top w:val="single" w:color="auto" w:sz="6" w:space="0"/>
              <w:left w:val="single" w:color="auto" w:sz="6" w:space="0"/>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bCs/>
                <w:caps w:val="0"/>
                <w:kern w:val="0"/>
                <w:sz w:val="21"/>
                <w:szCs w:val="21"/>
              </w:rPr>
            </w:pPr>
            <w:r>
              <w:rPr>
                <w:rFonts w:ascii="Times New Roman" w:hAnsi="Times New Roman"/>
                <w:bCs/>
                <w:caps w:val="0"/>
                <w:kern w:val="0"/>
                <w:sz w:val="21"/>
                <w:szCs w:val="21"/>
              </w:rPr>
              <w:t>IV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single" w:color="auto" w:sz="6" w:space="0"/>
              <w:left w:val="single" w:color="auto" w:sz="4"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鲤鱼涌</w:t>
            </w:r>
          </w:p>
        </w:tc>
        <w:tc>
          <w:tcPr>
            <w:tcW w:w="2328"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朗头</w:t>
            </w:r>
          </w:p>
        </w:tc>
        <w:tc>
          <w:tcPr>
            <w:tcW w:w="1934"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白坭河</w:t>
            </w:r>
          </w:p>
        </w:tc>
        <w:tc>
          <w:tcPr>
            <w:tcW w:w="1483"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ascii="Times New Roman" w:hAnsi="Times New Roman"/>
                <w:bCs/>
                <w:caps w:val="0"/>
                <w:kern w:val="0"/>
                <w:sz w:val="21"/>
                <w:szCs w:val="21"/>
              </w:rPr>
            </w:pPr>
            <w:r>
              <w:rPr>
                <w:rFonts w:ascii="Times New Roman" w:hAnsi="Times New Roman"/>
                <w:bCs/>
                <w:caps w:val="0"/>
                <w:kern w:val="0"/>
                <w:sz w:val="21"/>
                <w:szCs w:val="21"/>
              </w:rPr>
              <w:t>1</w:t>
            </w:r>
          </w:p>
        </w:tc>
        <w:tc>
          <w:tcPr>
            <w:tcW w:w="1391" w:type="dxa"/>
            <w:tcBorders>
              <w:top w:val="single" w:color="auto" w:sz="6" w:space="0"/>
              <w:left w:val="single" w:color="auto" w:sz="6" w:space="0"/>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bCs/>
                <w:caps w:val="0"/>
                <w:kern w:val="0"/>
                <w:sz w:val="21"/>
                <w:szCs w:val="21"/>
              </w:rPr>
            </w:pPr>
            <w:r>
              <w:rPr>
                <w:rFonts w:ascii="Times New Roman" w:hAnsi="Times New Roman"/>
                <w:bCs/>
                <w:caps w:val="0"/>
                <w:kern w:val="0"/>
                <w:sz w:val="21"/>
                <w:szCs w:val="21"/>
              </w:rPr>
              <w:t>III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single" w:color="auto" w:sz="6" w:space="0"/>
              <w:left w:val="single" w:color="auto" w:sz="4"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花赤引渠</w:t>
            </w:r>
          </w:p>
        </w:tc>
        <w:tc>
          <w:tcPr>
            <w:tcW w:w="2328"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六花岗水库</w:t>
            </w:r>
          </w:p>
        </w:tc>
        <w:tc>
          <w:tcPr>
            <w:tcW w:w="1934"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三坑水库</w:t>
            </w:r>
          </w:p>
        </w:tc>
        <w:tc>
          <w:tcPr>
            <w:tcW w:w="1483"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ascii="Times New Roman" w:hAnsi="Times New Roman"/>
                <w:bCs/>
                <w:caps w:val="0"/>
                <w:kern w:val="0"/>
                <w:sz w:val="21"/>
                <w:szCs w:val="21"/>
              </w:rPr>
            </w:pPr>
            <w:r>
              <w:rPr>
                <w:rFonts w:ascii="Times New Roman" w:hAnsi="Times New Roman"/>
                <w:bCs/>
                <w:caps w:val="0"/>
                <w:kern w:val="0"/>
                <w:sz w:val="21"/>
                <w:szCs w:val="21"/>
              </w:rPr>
              <w:t>17</w:t>
            </w:r>
          </w:p>
        </w:tc>
        <w:tc>
          <w:tcPr>
            <w:tcW w:w="1391" w:type="dxa"/>
            <w:tcBorders>
              <w:top w:val="single" w:color="auto" w:sz="6" w:space="0"/>
              <w:left w:val="single" w:color="auto" w:sz="6" w:space="0"/>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bCs/>
                <w:caps w:val="0"/>
                <w:kern w:val="0"/>
                <w:sz w:val="21"/>
                <w:szCs w:val="21"/>
              </w:rPr>
            </w:pPr>
            <w:r>
              <w:rPr>
                <w:rFonts w:ascii="Times New Roman" w:hAnsi="Times New Roman"/>
                <w:bCs/>
                <w:caps w:val="0"/>
                <w:kern w:val="0"/>
                <w:sz w:val="21"/>
                <w:szCs w:val="21"/>
              </w:rPr>
              <w:t>IV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25" w:type="dxa"/>
            <w:tcBorders>
              <w:top w:val="single" w:color="auto" w:sz="6" w:space="0"/>
              <w:left w:val="single" w:color="auto" w:sz="4"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流溪河花干渠</w:t>
            </w:r>
          </w:p>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新杨村以西</w:t>
            </w:r>
          </w:p>
        </w:tc>
        <w:tc>
          <w:tcPr>
            <w:tcW w:w="2328"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新杨村</w:t>
            </w:r>
          </w:p>
        </w:tc>
        <w:tc>
          <w:tcPr>
            <w:tcW w:w="1934"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hint="eastAsia" w:ascii="宋体" w:hAnsi="宋体" w:eastAsia="宋体" w:cs="宋体"/>
                <w:bCs/>
                <w:caps w:val="0"/>
                <w:kern w:val="0"/>
                <w:sz w:val="21"/>
                <w:szCs w:val="21"/>
              </w:rPr>
            </w:pPr>
            <w:r>
              <w:rPr>
                <w:rFonts w:hint="eastAsia" w:ascii="宋体" w:hAnsi="宋体" w:eastAsia="宋体" w:cs="宋体"/>
                <w:bCs/>
                <w:caps w:val="0"/>
                <w:kern w:val="0"/>
                <w:sz w:val="21"/>
                <w:szCs w:val="21"/>
              </w:rPr>
              <w:t>赤布</w:t>
            </w:r>
          </w:p>
        </w:tc>
        <w:tc>
          <w:tcPr>
            <w:tcW w:w="1483" w:type="dxa"/>
            <w:tcBorders>
              <w:top w:val="single" w:color="auto" w:sz="6" w:space="0"/>
              <w:left w:val="single" w:color="auto" w:sz="6" w:space="0"/>
              <w:bottom w:val="single" w:color="auto" w:sz="4" w:space="0"/>
              <w:right w:val="single" w:color="auto" w:sz="6" w:space="0"/>
            </w:tcBorders>
            <w:vAlign w:val="center"/>
          </w:tcPr>
          <w:p>
            <w:pPr>
              <w:widowControl/>
              <w:wordWrap/>
              <w:snapToGrid/>
              <w:spacing w:line="360" w:lineRule="exact"/>
              <w:jc w:val="center"/>
              <w:textAlignment w:val="auto"/>
              <w:rPr>
                <w:rFonts w:ascii="Times New Roman" w:hAnsi="Times New Roman"/>
                <w:bCs/>
                <w:caps w:val="0"/>
                <w:kern w:val="0"/>
                <w:sz w:val="21"/>
                <w:szCs w:val="21"/>
              </w:rPr>
            </w:pPr>
            <w:r>
              <w:rPr>
                <w:rFonts w:ascii="Times New Roman" w:hAnsi="Times New Roman"/>
                <w:bCs/>
                <w:caps w:val="0"/>
                <w:kern w:val="0"/>
                <w:sz w:val="21"/>
                <w:szCs w:val="21"/>
              </w:rPr>
              <w:t>12</w:t>
            </w:r>
          </w:p>
        </w:tc>
        <w:tc>
          <w:tcPr>
            <w:tcW w:w="1391" w:type="dxa"/>
            <w:tcBorders>
              <w:top w:val="single" w:color="auto" w:sz="6" w:space="0"/>
              <w:left w:val="single" w:color="auto" w:sz="6" w:space="0"/>
              <w:bottom w:val="single" w:color="auto" w:sz="4" w:space="0"/>
              <w:right w:val="single" w:color="auto" w:sz="4" w:space="0"/>
            </w:tcBorders>
            <w:vAlign w:val="center"/>
          </w:tcPr>
          <w:p>
            <w:pPr>
              <w:widowControl/>
              <w:wordWrap/>
              <w:snapToGrid/>
              <w:spacing w:line="360" w:lineRule="exact"/>
              <w:jc w:val="center"/>
              <w:textAlignment w:val="auto"/>
              <w:rPr>
                <w:rFonts w:ascii="Times New Roman" w:hAnsi="Times New Roman"/>
                <w:bCs/>
                <w:caps w:val="0"/>
                <w:kern w:val="0"/>
                <w:sz w:val="21"/>
                <w:szCs w:val="21"/>
              </w:rPr>
            </w:pPr>
            <w:r>
              <w:rPr>
                <w:rFonts w:ascii="Times New Roman" w:hAnsi="Times New Roman"/>
                <w:bCs/>
                <w:caps w:val="0"/>
                <w:kern w:val="0"/>
                <w:sz w:val="21"/>
                <w:szCs w:val="21"/>
              </w:rPr>
              <w:t>IV</w:t>
            </w:r>
          </w:p>
        </w:tc>
      </w:tr>
    </w:tbl>
    <w:p>
      <w:pPr>
        <w:pStyle w:val="28"/>
        <w:widowControl w:val="0"/>
        <w:wordWrap/>
        <w:adjustRightInd w:val="0"/>
        <w:snapToGrid/>
        <w:spacing w:line="640" w:lineRule="exact"/>
        <w:jc w:val="center"/>
        <w:textAlignment w:val="auto"/>
        <w:rPr>
          <w:rFonts w:hint="eastAsia" w:ascii="Times New Roman" w:hAnsi="Times New Roman" w:eastAsia="黑体" w:cs="黑体"/>
          <w:bCs/>
          <w:caps w:val="0"/>
          <w:sz w:val="32"/>
          <w:szCs w:val="32"/>
        </w:rPr>
      </w:pPr>
      <w:r>
        <w:rPr>
          <w:rFonts w:hint="eastAsia" w:ascii="Times New Roman" w:hAnsi="Times New Roman" w:eastAsia="黑体" w:cs="黑体"/>
          <w:bCs/>
          <w:caps w:val="0"/>
          <w:sz w:val="32"/>
          <w:szCs w:val="32"/>
        </w:rPr>
        <w:t xml:space="preserve">表5.2-2  </w:t>
      </w:r>
      <w:r>
        <w:rPr>
          <w:rFonts w:hint="eastAsia" w:ascii="Times New Roman" w:hAnsi="Times New Roman" w:eastAsia="黑体" w:cs="黑体"/>
          <w:caps w:val="0"/>
          <w:sz w:val="32"/>
          <w:szCs w:val="32"/>
        </w:rPr>
        <w:t>花都区水库水环境功能区划</w:t>
      </w:r>
    </w:p>
    <w:tbl>
      <w:tblPr>
        <w:tblStyle w:val="20"/>
        <w:tblW w:w="90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42"/>
        <w:gridCol w:w="1540"/>
        <w:gridCol w:w="2343"/>
        <w:gridCol w:w="19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3242" w:type="dxa"/>
            <w:tcBorders>
              <w:top w:val="single" w:color="auto" w:sz="4" w:space="0"/>
              <w:left w:val="single" w:color="auto" w:sz="4" w:space="0"/>
              <w:bottom w:val="single" w:color="auto" w:sz="4" w:space="0"/>
              <w:right w:val="single" w:color="auto" w:sz="4" w:space="0"/>
            </w:tcBorders>
            <w:vAlign w:val="center"/>
          </w:tcPr>
          <w:p>
            <w:pPr>
              <w:widowControl/>
              <w:wordWrap/>
              <w:snapToGrid/>
              <w:spacing w:line="360" w:lineRule="exact"/>
              <w:jc w:val="center"/>
              <w:textAlignment w:val="auto"/>
              <w:rPr>
                <w:rFonts w:hint="eastAsia" w:ascii="Times New Roman" w:hAnsi="Times New Roman" w:eastAsia="黑体" w:cs="黑体"/>
                <w:bCs/>
                <w:caps w:val="0"/>
                <w:kern w:val="0"/>
                <w:sz w:val="24"/>
                <w:szCs w:val="24"/>
              </w:rPr>
            </w:pPr>
            <w:r>
              <w:rPr>
                <w:rFonts w:hint="eastAsia" w:ascii="Times New Roman" w:hAnsi="Times New Roman" w:eastAsia="黑体" w:cs="黑体"/>
                <w:bCs/>
                <w:caps w:val="0"/>
                <w:kern w:val="0"/>
                <w:sz w:val="24"/>
                <w:szCs w:val="24"/>
              </w:rPr>
              <w:t>水库</w:t>
            </w:r>
          </w:p>
        </w:tc>
        <w:tc>
          <w:tcPr>
            <w:tcW w:w="1540" w:type="dxa"/>
            <w:tcBorders>
              <w:top w:val="single" w:color="auto" w:sz="4" w:space="0"/>
              <w:left w:val="single" w:color="auto" w:sz="4" w:space="0"/>
              <w:bottom w:val="single" w:color="auto" w:sz="4" w:space="0"/>
              <w:right w:val="single" w:color="auto" w:sz="4" w:space="0"/>
            </w:tcBorders>
            <w:vAlign w:val="center"/>
          </w:tcPr>
          <w:p>
            <w:pPr>
              <w:widowControl/>
              <w:wordWrap/>
              <w:snapToGrid/>
              <w:spacing w:line="360" w:lineRule="exact"/>
              <w:jc w:val="center"/>
              <w:textAlignment w:val="auto"/>
              <w:rPr>
                <w:rFonts w:hint="eastAsia" w:ascii="Times New Roman" w:hAnsi="Times New Roman" w:eastAsia="黑体" w:cs="黑体"/>
                <w:bCs/>
                <w:caps w:val="0"/>
                <w:kern w:val="0"/>
                <w:sz w:val="24"/>
                <w:szCs w:val="24"/>
              </w:rPr>
            </w:pPr>
            <w:r>
              <w:rPr>
                <w:rFonts w:hint="eastAsia" w:ascii="Times New Roman" w:hAnsi="Times New Roman" w:eastAsia="黑体" w:cs="黑体"/>
                <w:bCs/>
                <w:caps w:val="0"/>
                <w:kern w:val="0"/>
                <w:sz w:val="24"/>
                <w:szCs w:val="24"/>
              </w:rPr>
              <w:t>河流</w:t>
            </w:r>
          </w:p>
        </w:tc>
        <w:tc>
          <w:tcPr>
            <w:tcW w:w="2343" w:type="dxa"/>
            <w:tcBorders>
              <w:top w:val="single" w:color="auto" w:sz="4" w:space="0"/>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Times New Roman" w:hAnsi="Times New Roman" w:eastAsia="黑体" w:cs="黑体"/>
                <w:bCs/>
                <w:caps w:val="0"/>
                <w:kern w:val="0"/>
                <w:sz w:val="24"/>
                <w:szCs w:val="24"/>
              </w:rPr>
            </w:pPr>
            <w:r>
              <w:rPr>
                <w:rFonts w:hint="eastAsia" w:ascii="Times New Roman" w:hAnsi="Times New Roman" w:eastAsia="黑体" w:cs="黑体"/>
                <w:bCs/>
                <w:caps w:val="0"/>
                <w:kern w:val="0"/>
                <w:sz w:val="24"/>
                <w:szCs w:val="24"/>
              </w:rPr>
              <w:t>库容(万立方米)</w:t>
            </w:r>
          </w:p>
        </w:tc>
        <w:tc>
          <w:tcPr>
            <w:tcW w:w="1936" w:type="dxa"/>
            <w:tcBorders>
              <w:top w:val="single" w:color="auto" w:sz="4" w:space="0"/>
              <w:left w:val="nil"/>
              <w:bottom w:val="single" w:color="auto" w:sz="4" w:space="0"/>
              <w:right w:val="single" w:color="auto" w:sz="4" w:space="0"/>
            </w:tcBorders>
            <w:vAlign w:val="center"/>
          </w:tcPr>
          <w:p>
            <w:pPr>
              <w:widowControl/>
              <w:wordWrap/>
              <w:snapToGrid/>
              <w:spacing w:line="360" w:lineRule="exact"/>
              <w:jc w:val="center"/>
              <w:textAlignment w:val="auto"/>
              <w:rPr>
                <w:rFonts w:hint="eastAsia" w:ascii="Times New Roman" w:hAnsi="Times New Roman" w:eastAsia="黑体" w:cs="黑体"/>
                <w:bCs/>
                <w:caps w:val="0"/>
                <w:kern w:val="0"/>
                <w:sz w:val="24"/>
                <w:szCs w:val="24"/>
              </w:rPr>
            </w:pPr>
            <w:r>
              <w:rPr>
                <w:rFonts w:hint="eastAsia" w:ascii="Times New Roman" w:hAnsi="Times New Roman" w:eastAsia="黑体" w:cs="黑体"/>
                <w:bCs/>
                <w:caps w:val="0"/>
                <w:kern w:val="0"/>
                <w:sz w:val="24"/>
                <w:szCs w:val="24"/>
              </w:rPr>
              <w:t>水质目标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242" w:type="dxa"/>
            <w:tcBorders>
              <w:top w:val="nil"/>
              <w:left w:val="single" w:color="auto" w:sz="4" w:space="0"/>
              <w:bottom w:val="single" w:color="auto" w:sz="4" w:space="0"/>
              <w:right w:val="single" w:color="auto" w:sz="4" w:space="0"/>
            </w:tcBorders>
            <w:vAlign w:val="center"/>
          </w:tcPr>
          <w:p>
            <w:pPr>
              <w:widowControl/>
              <w:wordWrap/>
              <w:adjustRightInd/>
              <w:snapToGrid/>
              <w:spacing w:line="44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九湾潭水库</w:t>
            </w:r>
          </w:p>
        </w:tc>
        <w:tc>
          <w:tcPr>
            <w:tcW w:w="1540" w:type="dxa"/>
            <w:tcBorders>
              <w:top w:val="nil"/>
              <w:left w:val="single" w:color="auto" w:sz="4" w:space="0"/>
              <w:bottom w:val="single" w:color="auto" w:sz="4" w:space="0"/>
              <w:right w:val="single" w:color="auto" w:sz="4" w:space="0"/>
            </w:tcBorders>
            <w:vAlign w:val="center"/>
          </w:tcPr>
          <w:p>
            <w:pPr>
              <w:widowControl/>
              <w:wordWrap/>
              <w:adjustRightInd/>
              <w:snapToGrid/>
              <w:spacing w:line="44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九湾潭</w:t>
            </w:r>
          </w:p>
        </w:tc>
        <w:tc>
          <w:tcPr>
            <w:tcW w:w="2343" w:type="dxa"/>
            <w:tcBorders>
              <w:top w:val="nil"/>
              <w:left w:val="nil"/>
              <w:bottom w:val="single" w:color="auto" w:sz="4" w:space="0"/>
              <w:right w:val="single" w:color="auto" w:sz="4" w:space="0"/>
            </w:tcBorders>
            <w:vAlign w:val="center"/>
          </w:tcPr>
          <w:p>
            <w:pPr>
              <w:widowControl/>
              <w:wordWrap/>
              <w:adjustRightInd/>
              <w:snapToGrid/>
              <w:spacing w:line="44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3870</w:t>
            </w:r>
          </w:p>
        </w:tc>
        <w:tc>
          <w:tcPr>
            <w:tcW w:w="1936" w:type="dxa"/>
            <w:tcBorders>
              <w:top w:val="nil"/>
              <w:left w:val="nil"/>
              <w:bottom w:val="single" w:color="auto" w:sz="4" w:space="0"/>
              <w:right w:val="single" w:color="auto" w:sz="4" w:space="0"/>
            </w:tcBorders>
            <w:vAlign w:val="center"/>
          </w:tcPr>
          <w:p>
            <w:pPr>
              <w:widowControl/>
              <w:wordWrap/>
              <w:adjustRightInd/>
              <w:snapToGrid/>
              <w:spacing w:line="44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242" w:type="dxa"/>
            <w:tcBorders>
              <w:top w:val="nil"/>
              <w:left w:val="single" w:color="auto" w:sz="4" w:space="0"/>
              <w:bottom w:val="single" w:color="auto" w:sz="4" w:space="0"/>
              <w:right w:val="single" w:color="auto" w:sz="4" w:space="0"/>
            </w:tcBorders>
            <w:vAlign w:val="center"/>
          </w:tcPr>
          <w:p>
            <w:pPr>
              <w:widowControl/>
              <w:wordWrap/>
              <w:adjustRightInd/>
              <w:snapToGrid/>
              <w:spacing w:line="44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三坑水库</w:t>
            </w:r>
          </w:p>
        </w:tc>
        <w:tc>
          <w:tcPr>
            <w:tcW w:w="1540" w:type="dxa"/>
            <w:tcBorders>
              <w:top w:val="nil"/>
              <w:left w:val="single" w:color="auto" w:sz="4" w:space="0"/>
              <w:bottom w:val="single" w:color="auto" w:sz="4" w:space="0"/>
              <w:right w:val="single" w:color="auto" w:sz="4" w:space="0"/>
            </w:tcBorders>
            <w:vAlign w:val="center"/>
          </w:tcPr>
          <w:p>
            <w:pPr>
              <w:widowControl/>
              <w:wordWrap/>
              <w:adjustRightInd/>
              <w:snapToGrid/>
              <w:spacing w:line="44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白坭河</w:t>
            </w:r>
          </w:p>
        </w:tc>
        <w:tc>
          <w:tcPr>
            <w:tcW w:w="2343" w:type="dxa"/>
            <w:tcBorders>
              <w:top w:val="nil"/>
              <w:left w:val="nil"/>
              <w:bottom w:val="single" w:color="auto" w:sz="4" w:space="0"/>
              <w:right w:val="single" w:color="auto" w:sz="4" w:space="0"/>
            </w:tcBorders>
            <w:vAlign w:val="center"/>
          </w:tcPr>
          <w:p>
            <w:pPr>
              <w:widowControl/>
              <w:wordWrap/>
              <w:adjustRightInd/>
              <w:snapToGrid/>
              <w:spacing w:line="44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2285</w:t>
            </w:r>
          </w:p>
        </w:tc>
        <w:tc>
          <w:tcPr>
            <w:tcW w:w="1936" w:type="dxa"/>
            <w:tcBorders>
              <w:top w:val="nil"/>
              <w:left w:val="nil"/>
              <w:bottom w:val="single" w:color="auto" w:sz="4" w:space="0"/>
              <w:right w:val="single" w:color="auto" w:sz="4" w:space="0"/>
            </w:tcBorders>
            <w:vAlign w:val="center"/>
          </w:tcPr>
          <w:p>
            <w:pPr>
              <w:widowControl/>
              <w:wordWrap/>
              <w:adjustRightInd/>
              <w:snapToGrid/>
              <w:spacing w:line="44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242" w:type="dxa"/>
            <w:tcBorders>
              <w:top w:val="nil"/>
              <w:left w:val="single" w:color="auto" w:sz="4" w:space="0"/>
              <w:bottom w:val="single" w:color="auto" w:sz="4" w:space="0"/>
              <w:right w:val="single" w:color="auto" w:sz="4" w:space="0"/>
            </w:tcBorders>
            <w:vAlign w:val="center"/>
          </w:tcPr>
          <w:p>
            <w:pPr>
              <w:widowControl/>
              <w:wordWrap/>
              <w:adjustRightInd/>
              <w:snapToGrid/>
              <w:spacing w:line="44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福源水库</w:t>
            </w:r>
          </w:p>
        </w:tc>
        <w:tc>
          <w:tcPr>
            <w:tcW w:w="1540" w:type="dxa"/>
            <w:tcBorders>
              <w:top w:val="nil"/>
              <w:left w:val="single" w:color="auto" w:sz="4" w:space="0"/>
              <w:bottom w:val="single" w:color="auto" w:sz="4" w:space="0"/>
              <w:right w:val="single" w:color="auto" w:sz="4" w:space="0"/>
            </w:tcBorders>
            <w:vAlign w:val="center"/>
          </w:tcPr>
          <w:p>
            <w:pPr>
              <w:widowControl/>
              <w:wordWrap/>
              <w:adjustRightInd/>
              <w:snapToGrid/>
              <w:spacing w:line="44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新街河</w:t>
            </w:r>
          </w:p>
        </w:tc>
        <w:tc>
          <w:tcPr>
            <w:tcW w:w="2343" w:type="dxa"/>
            <w:tcBorders>
              <w:top w:val="nil"/>
              <w:left w:val="nil"/>
              <w:bottom w:val="single" w:color="auto" w:sz="4" w:space="0"/>
              <w:right w:val="single" w:color="auto" w:sz="4" w:space="0"/>
            </w:tcBorders>
            <w:vAlign w:val="center"/>
          </w:tcPr>
          <w:p>
            <w:pPr>
              <w:widowControl/>
              <w:wordWrap/>
              <w:adjustRightInd/>
              <w:snapToGrid/>
              <w:spacing w:line="44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1232</w:t>
            </w:r>
          </w:p>
        </w:tc>
        <w:tc>
          <w:tcPr>
            <w:tcW w:w="1936" w:type="dxa"/>
            <w:tcBorders>
              <w:top w:val="nil"/>
              <w:left w:val="nil"/>
              <w:bottom w:val="single" w:color="auto" w:sz="4" w:space="0"/>
              <w:right w:val="single" w:color="auto" w:sz="4" w:space="0"/>
            </w:tcBorders>
            <w:vAlign w:val="center"/>
          </w:tcPr>
          <w:p>
            <w:pPr>
              <w:widowControl/>
              <w:wordWrap/>
              <w:adjustRightInd/>
              <w:snapToGrid/>
              <w:spacing w:line="44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242" w:type="dxa"/>
            <w:tcBorders>
              <w:top w:val="nil"/>
              <w:left w:val="single" w:color="auto" w:sz="4" w:space="0"/>
              <w:bottom w:val="single" w:color="auto" w:sz="4" w:space="0"/>
              <w:right w:val="single" w:color="auto" w:sz="4" w:space="0"/>
            </w:tcBorders>
            <w:vAlign w:val="center"/>
          </w:tcPr>
          <w:p>
            <w:pPr>
              <w:widowControl/>
              <w:wordWrap/>
              <w:adjustRightInd/>
              <w:snapToGrid/>
              <w:spacing w:line="44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芙蓉嶂水库</w:t>
            </w:r>
          </w:p>
        </w:tc>
        <w:tc>
          <w:tcPr>
            <w:tcW w:w="1540" w:type="dxa"/>
            <w:tcBorders>
              <w:top w:val="nil"/>
              <w:left w:val="single" w:color="auto" w:sz="4" w:space="0"/>
              <w:bottom w:val="single" w:color="auto" w:sz="4" w:space="0"/>
              <w:right w:val="single" w:color="auto" w:sz="4" w:space="0"/>
            </w:tcBorders>
            <w:vAlign w:val="center"/>
          </w:tcPr>
          <w:p>
            <w:pPr>
              <w:widowControl/>
              <w:wordWrap/>
              <w:adjustRightInd/>
              <w:snapToGrid/>
              <w:spacing w:line="44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新街河</w:t>
            </w:r>
          </w:p>
        </w:tc>
        <w:tc>
          <w:tcPr>
            <w:tcW w:w="2343" w:type="dxa"/>
            <w:tcBorders>
              <w:top w:val="nil"/>
              <w:left w:val="nil"/>
              <w:bottom w:val="single" w:color="auto" w:sz="4" w:space="0"/>
              <w:right w:val="single" w:color="auto" w:sz="4" w:space="0"/>
            </w:tcBorders>
            <w:vAlign w:val="center"/>
          </w:tcPr>
          <w:p>
            <w:pPr>
              <w:widowControl/>
              <w:wordWrap/>
              <w:adjustRightInd/>
              <w:snapToGrid/>
              <w:spacing w:line="44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2255</w:t>
            </w:r>
          </w:p>
        </w:tc>
        <w:tc>
          <w:tcPr>
            <w:tcW w:w="1936" w:type="dxa"/>
            <w:tcBorders>
              <w:top w:val="nil"/>
              <w:left w:val="nil"/>
              <w:bottom w:val="single" w:color="auto" w:sz="4" w:space="0"/>
              <w:right w:val="single" w:color="auto" w:sz="4" w:space="0"/>
            </w:tcBorders>
            <w:vAlign w:val="center"/>
          </w:tcPr>
          <w:p>
            <w:pPr>
              <w:widowControl/>
              <w:wordWrap/>
              <w:adjustRightInd/>
              <w:snapToGrid/>
              <w:spacing w:line="44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242" w:type="dxa"/>
            <w:tcBorders>
              <w:top w:val="nil"/>
              <w:left w:val="single" w:color="auto" w:sz="4" w:space="0"/>
              <w:bottom w:val="single" w:color="auto" w:sz="4" w:space="0"/>
              <w:right w:val="single" w:color="auto" w:sz="4" w:space="0"/>
            </w:tcBorders>
            <w:vAlign w:val="center"/>
          </w:tcPr>
          <w:p>
            <w:pPr>
              <w:widowControl/>
              <w:wordWrap/>
              <w:adjustRightInd/>
              <w:snapToGrid/>
              <w:spacing w:line="44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洪秀全水库</w:t>
            </w:r>
          </w:p>
        </w:tc>
        <w:tc>
          <w:tcPr>
            <w:tcW w:w="1540" w:type="dxa"/>
            <w:tcBorders>
              <w:top w:val="nil"/>
              <w:left w:val="single" w:color="auto" w:sz="4" w:space="0"/>
              <w:bottom w:val="single" w:color="auto" w:sz="4" w:space="0"/>
              <w:right w:val="single" w:color="auto" w:sz="4" w:space="0"/>
            </w:tcBorders>
            <w:vAlign w:val="center"/>
          </w:tcPr>
          <w:p>
            <w:pPr>
              <w:widowControl/>
              <w:wordWrap/>
              <w:adjustRightInd/>
              <w:snapToGrid/>
              <w:spacing w:line="440" w:lineRule="exact"/>
              <w:jc w:val="center"/>
              <w:textAlignment w:val="auto"/>
              <w:rPr>
                <w:rFonts w:hint="eastAsia" w:ascii="宋体" w:hAnsi="宋体" w:eastAsia="宋体" w:cs="宋体"/>
                <w:caps w:val="0"/>
                <w:kern w:val="0"/>
                <w:sz w:val="21"/>
                <w:szCs w:val="21"/>
              </w:rPr>
            </w:pPr>
            <w:r>
              <w:rPr>
                <w:rFonts w:hint="eastAsia" w:ascii="宋体" w:hAnsi="宋体" w:eastAsia="宋体" w:cs="宋体"/>
                <w:caps w:val="0"/>
                <w:kern w:val="0"/>
                <w:sz w:val="21"/>
                <w:szCs w:val="21"/>
              </w:rPr>
              <w:t>新街河</w:t>
            </w:r>
          </w:p>
        </w:tc>
        <w:tc>
          <w:tcPr>
            <w:tcW w:w="2343" w:type="dxa"/>
            <w:tcBorders>
              <w:top w:val="nil"/>
              <w:left w:val="nil"/>
              <w:bottom w:val="single" w:color="auto" w:sz="4" w:space="0"/>
              <w:right w:val="single" w:color="auto" w:sz="4" w:space="0"/>
            </w:tcBorders>
            <w:vAlign w:val="center"/>
          </w:tcPr>
          <w:p>
            <w:pPr>
              <w:widowControl/>
              <w:wordWrap/>
              <w:adjustRightInd/>
              <w:snapToGrid/>
              <w:spacing w:line="44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429</w:t>
            </w:r>
          </w:p>
        </w:tc>
        <w:tc>
          <w:tcPr>
            <w:tcW w:w="1936" w:type="dxa"/>
            <w:tcBorders>
              <w:top w:val="nil"/>
              <w:left w:val="nil"/>
              <w:bottom w:val="single" w:color="auto" w:sz="4" w:space="0"/>
              <w:right w:val="single" w:color="auto" w:sz="4" w:space="0"/>
            </w:tcBorders>
            <w:vAlign w:val="center"/>
          </w:tcPr>
          <w:p>
            <w:pPr>
              <w:widowControl/>
              <w:wordWrap/>
              <w:adjustRightInd/>
              <w:snapToGrid/>
              <w:spacing w:line="440" w:lineRule="exact"/>
              <w:jc w:val="center"/>
              <w:textAlignment w:val="auto"/>
              <w:rPr>
                <w:rFonts w:ascii="Times New Roman" w:hAnsi="Times New Roman"/>
                <w:caps w:val="0"/>
                <w:kern w:val="0"/>
                <w:sz w:val="21"/>
                <w:szCs w:val="21"/>
              </w:rPr>
            </w:pPr>
            <w:r>
              <w:rPr>
                <w:rFonts w:ascii="Times New Roman" w:hAnsi="Times New Roman"/>
                <w:caps w:val="0"/>
                <w:kern w:val="0"/>
                <w:sz w:val="21"/>
                <w:szCs w:val="21"/>
              </w:rPr>
              <w:t>Ⅱ</w:t>
            </w:r>
          </w:p>
        </w:tc>
      </w:tr>
    </w:tbl>
    <w:p>
      <w:pPr>
        <w:pStyle w:val="4"/>
        <w:keepNext/>
        <w:keepLines/>
        <w:widowControl w:val="0"/>
        <w:wordWrap/>
        <w:adjustRightInd/>
        <w:snapToGrid/>
        <w:spacing w:beforeLines="50" w:afterLines="50" w:line="240" w:lineRule="auto"/>
        <w:ind w:firstLine="632" w:firstLineChars="200"/>
        <w:jc w:val="both"/>
        <w:textAlignment w:val="auto"/>
        <w:rPr>
          <w:rFonts w:ascii="Times New Roman" w:hAnsi="Times New Roman" w:eastAsia="宋体"/>
          <w:caps w:val="0"/>
          <w:sz w:val="32"/>
          <w:szCs w:val="32"/>
        </w:rPr>
      </w:pPr>
      <w:bookmarkStart w:id="52" w:name="_Toc88053814"/>
      <w:r>
        <w:rPr>
          <w:rFonts w:ascii="Times New Roman" w:hAnsi="Times New Roman" w:eastAsia="宋体"/>
          <w:b w:val="0"/>
          <w:bCs w:val="0"/>
          <w:caps w:val="0"/>
          <w:sz w:val="32"/>
          <w:szCs w:val="32"/>
        </w:rPr>
        <w:t>5.3</w:t>
      </w:r>
      <w:r>
        <w:rPr>
          <w:rFonts w:hint="eastAsia" w:ascii="Times New Roman" w:hAnsi="Times New Roman" w:eastAsia="楷体_GB2312" w:cs="楷体_GB2312"/>
          <w:b w:val="0"/>
          <w:bCs w:val="0"/>
          <w:caps w:val="0"/>
          <w:sz w:val="32"/>
          <w:szCs w:val="32"/>
        </w:rPr>
        <w:t>环境空气功能区划分</w:t>
      </w:r>
      <w:bookmarkEnd w:id="52"/>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根据《广州市环境空气功能区区划（修订）》（穗府〔2013〕17号），花都区环境空气功能区划分为一类区和二类区。本规划对规划期花都区环境空气功能区划不作调整。</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一类环境空气功能区（一类区）：主要是国家、省、市、县级市规定的自然保护区、风景名胜区和其他需要特殊保护的区域，以保护自然生态和公众福利为主要对象，执行环境空气质量一级标准。</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二类环境空气功能区（二类区）：主要是城镇规划中确定的居住区、商业交通居民混合区、文化区、工业区和农村地区，以保护人体健康为主要对象，执行环境空气质量二级标准。</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花都区一类区为花都北部风景区和生态林区，包括：广东王子山森林公园（含芙蓉嶂风景区）、九湾潭森林公园、大岭顶生态林区和鸡枕山生态林区。该区域的南边界到肖子地、湾弓塘、大王岭、狮洞水库、百步梯、珠高布水库、芙蓉嶂、大坑坝一线，东、北、西方向至花都区的区界，面积共210.4平方公里。二类区面积共759.6平方公里，为除一类区之外的区域。</w:t>
      </w:r>
    </w:p>
    <w:p>
      <w:pPr>
        <w:widowControl w:val="0"/>
        <w:wordWrap/>
        <w:adjustRightInd w:val="0"/>
        <w:snapToGrid/>
        <w:spacing w:line="240" w:lineRule="auto"/>
        <w:ind w:firstLine="632" w:firstLineChars="200"/>
        <w:jc w:val="both"/>
        <w:textAlignment w:val="auto"/>
        <w:rPr>
          <w:rFonts w:ascii="Times New Roman" w:hAnsi="Times New Roman" w:eastAsia="仿宋_GB2312"/>
          <w:caps w:val="0"/>
          <w:sz w:val="32"/>
          <w:szCs w:val="32"/>
        </w:rPr>
      </w:pPr>
      <w:r>
        <w:rPr>
          <w:rFonts w:ascii="Times New Roman" w:hAnsi="Times New Roman"/>
          <w:caps w:val="0"/>
          <w:sz w:val="32"/>
          <w:szCs w:val="32"/>
        </w:rPr>
        <w:t>为保障一类区环境空气质量，在二类区内沿一类区边界向外300米的范围为缓冲带，缓冲带内的环境空气质量执行一级标准。一类区禁止新、扩建有大气污染物排放的工业项目；现有项目改建的，应当减少大气污染物排放总量；新、扩建的有大气污染物排放的非工业项目，环评文件审批时，有关部门须向市政府报告。</w:t>
      </w:r>
    </w:p>
    <w:p>
      <w:pPr>
        <w:pStyle w:val="4"/>
        <w:keepNext/>
        <w:keepLines/>
        <w:widowControl w:val="0"/>
        <w:wordWrap/>
        <w:adjustRightInd/>
        <w:snapToGrid/>
        <w:spacing w:beforeLines="50" w:afterLines="50" w:line="240" w:lineRule="auto"/>
        <w:ind w:firstLine="632" w:firstLineChars="200"/>
        <w:jc w:val="both"/>
        <w:textAlignment w:val="auto"/>
        <w:rPr>
          <w:rFonts w:ascii="Times New Roman" w:hAnsi="Times New Roman" w:eastAsia="宋体"/>
          <w:b w:val="0"/>
          <w:bCs w:val="0"/>
          <w:caps w:val="0"/>
          <w:sz w:val="32"/>
          <w:szCs w:val="32"/>
        </w:rPr>
      </w:pPr>
      <w:bookmarkStart w:id="53" w:name="_Toc88053815"/>
      <w:r>
        <w:rPr>
          <w:rFonts w:ascii="Times New Roman" w:hAnsi="Times New Roman" w:eastAsia="宋体"/>
          <w:b w:val="0"/>
          <w:bCs w:val="0"/>
          <w:caps w:val="0"/>
          <w:sz w:val="32"/>
          <w:szCs w:val="32"/>
        </w:rPr>
        <w:t>5.4</w:t>
      </w:r>
      <w:r>
        <w:rPr>
          <w:rFonts w:hint="eastAsia" w:ascii="Times New Roman" w:hAnsi="Times New Roman" w:eastAsia="楷体_GB2312" w:cs="楷体_GB2312"/>
          <w:b w:val="0"/>
          <w:bCs w:val="0"/>
          <w:caps w:val="0"/>
          <w:sz w:val="32"/>
          <w:szCs w:val="32"/>
        </w:rPr>
        <w:t>声环境功能区划分</w:t>
      </w:r>
      <w:bookmarkEnd w:id="53"/>
    </w:p>
    <w:p>
      <w:pPr>
        <w:widowControl w:val="0"/>
        <w:wordWrap/>
        <w:snapToGrid/>
        <w:spacing w:line="240" w:lineRule="auto"/>
        <w:ind w:firstLine="632" w:firstLineChars="200"/>
        <w:jc w:val="both"/>
        <w:textAlignment w:val="auto"/>
        <w:rPr>
          <w:rFonts w:ascii="Times New Roman" w:hAnsi="Times New Roman"/>
          <w:caps w:val="0"/>
          <w:sz w:val="32"/>
          <w:szCs w:val="32"/>
        </w:rPr>
      </w:pPr>
      <w:r>
        <w:rPr>
          <w:rFonts w:hint="eastAsia" w:ascii="Times New Roman" w:hAnsi="Times New Roman" w:eastAsia="仿宋_GB2312" w:cs="仿宋_GB2312"/>
          <w:caps w:val="0"/>
          <w:sz w:val="32"/>
          <w:szCs w:val="32"/>
        </w:rPr>
        <w:t>根据《广州市环境保护局关于印发广州市声环境功能区区划的通知》（穗环</w:t>
      </w:r>
      <w:r>
        <w:rPr>
          <w:rFonts w:ascii="Times New Roman" w:hAnsi="Times New Roman"/>
          <w:caps w:val="0"/>
          <w:sz w:val="32"/>
          <w:szCs w:val="32"/>
        </w:rPr>
        <w:t>〔2018〕151号），花都区涉及1类、2类、3类、4类（含4a类和4b类）声环境功能区及机场周围飞机噪声影响控制区域，不涉及0类声环境功能区。</w:t>
      </w:r>
    </w:p>
    <w:p>
      <w:pPr>
        <w:widowControl w:val="0"/>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一）1类声环境功能区：以居民住宅、医疗卫生、文化教育、科研设计、行政办公为主要功能，需要保持安静的区域；自然保护区除核心区外珍稀动植物集中分布区；风景名胜区、森林公园、湿地公园、大型城市公园等群众游览休憩的场所；科研设计类产业区块；乡村区域中无交通干线经过的远郊村；花都北部山地生态林区。</w:t>
      </w:r>
    </w:p>
    <w:p>
      <w:pPr>
        <w:widowControl w:val="0"/>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（二）2类声环境功能区：以商业金融、集市贸易为主要功能，或者居住、商业、工业混杂，需要维护住宅安静的区域；城市区域中的城中村；乡村区域中的集镇、城边村、交通干线经过的村庄。</w:t>
      </w:r>
    </w:p>
    <w:p>
      <w:pPr>
        <w:widowControl w:val="0"/>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（三）3类声环境功能区：</w:t>
      </w:r>
    </w:p>
    <w:p>
      <w:pPr>
        <w:widowControl w:val="0"/>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（1）以工业生产、仓储物流为主要功能，需要防止工业噪声对周围环境产生严重影响的区域。</w:t>
      </w:r>
    </w:p>
    <w:p>
      <w:pPr>
        <w:widowControl w:val="0"/>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（2）各类工业区规划范围总体上划定为3类区，尚未开发建设的工业用地和以居民住宅、医疗卫生、文化教育、科研设计、行政办公等为主的非工业用地，执行2类区标准。</w:t>
      </w:r>
    </w:p>
    <w:p>
      <w:pPr>
        <w:widowControl w:val="0"/>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（四）4类声环境功能区：</w:t>
      </w:r>
    </w:p>
    <w:p>
      <w:pPr>
        <w:widowControl w:val="0"/>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1）4类声环境功能区：交通干线及特定路段（不属于交通干线，参照交通干线进行声环境管理的路段）两侧一定距离之内，需要防止交通噪声对周围环境产生严重影响的区域，包括4a类和4b类两种类型，其中高速公路、一级公路、二级公路、城市快速路、城市主干路、城市次干路、特定路段、城市轨道交通（地面段）、城际轨道交通（地面段）、内河航道两侧区域为4a类，铁路干线两侧区域为4b类；交通干线及特定路段附属的铁路、城际轨道交通（地面段）和城市轨道交通（地面段）的停车场、车辆段和动车所、公交枢纽、公路客运站场、港口站场、高速公路服务区等具有一定规模的交通服务区域，其中城际轨道交通（地面段）和城市轨道交通（地面）停车场、车辆段和动车所、公交枢纽、公路客运站场、港口站场、高速公路服务区为4a类，铁路干线的站场、机务段和车辆段等为4b类。</w:t>
      </w:r>
    </w:p>
    <w:p>
      <w:pPr>
        <w:widowControl w:val="0"/>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2）交通干线及特定路段边界线：城市道路、特定路段、公路和高速公路的机动车道边线或高架道路地面投影边界；距铁路干线、城市（或城际）轨道铁路外侧轨道中心线30米处；内河航道的河堤护栏或堤外坡角；城际轨道交通和城市轨道交通（地面）的停车场、车辆段和动车所、公路客运站场、公交枢纽、港口码头区、高速公路服务区，铁路干线的站场、机务段和车辆段以用地红线作为边界线。</w:t>
      </w:r>
    </w:p>
    <w:p>
      <w:pPr>
        <w:widowControl w:val="0"/>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3）交通干线及特定路段两侧距离：当交通干线及特定路段两侧分别与1类区、2类区、3类区相邻时，4类区范围是以道路边界线为起点，分别向道路两侧纵深45米、30米、15米的区域范围；城际轨道交通和城市轨道交通（地面）的停车场、车辆段和动车所、公路客运站场、公交枢纽、港口码头区、高速公路服务区直接以其用地红线作为划分边界，不考虑纵深范围。</w:t>
      </w:r>
    </w:p>
    <w:p>
      <w:pPr>
        <w:widowControl w:val="0"/>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4）临街建筑隔声：当交通干线及特定路段纵深范围内以高于三层楼房以上（含三层）的建筑为主时，第一排建筑面向道路一侧至交通干线及特定路段边界线的范围内受交通噪声直达声影响的区域划为4a类声环境功能区；第一排建筑背向道路一侧未受到交通噪声直达声影响的区域执行相邻声环境功能区要求。</w:t>
      </w:r>
    </w:p>
    <w:p>
      <w:pPr>
        <w:widowControl w:val="0"/>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对于第二排及以后的建筑，若其高于前排建筑或虽低于前排建筑但因楼座错落设置使部分楼体探出前排遮挡并受到道路交通噪声的直达声影响，则高出及探出部分的楼层面向道路一侧范围划为4a类声环境功能区。</w:t>
      </w:r>
    </w:p>
    <w:p>
      <w:pPr>
        <w:widowControl w:val="0"/>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交通干线及特定路段临街建筑以低于三层楼房（含开阔地）为主时，不考虑临街建筑隔声。</w:t>
      </w:r>
    </w:p>
    <w:p>
      <w:pPr>
        <w:widowControl w:val="0"/>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4b类声环境功能区不考虑临街建筑隔声。</w:t>
      </w:r>
    </w:p>
    <w:p>
      <w:pPr>
        <w:widowControl w:val="0"/>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（5）对铁路与其它道路并存的交通干线，划分为4b类声环境功能区。4a类与4b类声环境功能区重叠部分划分为4b类声环境功能区。</w:t>
      </w:r>
    </w:p>
    <w:p>
      <w:pPr>
        <w:widowControl w:val="0"/>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6）机场周围飞机噪声影响控制区域：机场周围区域指机场周围受飞机通过（起飞、降落、低空飞越）噪声影响的区域，以经批准的相关环境影响评价文件中所确定的区域为准。飞机降落与地面滑行过程中产生的噪声，执行《机场周围飞机噪声环境标准》（GB 9660）要求。</w:t>
      </w:r>
    </w:p>
    <w:p>
      <w:pPr>
        <w:snapToGrid w:val="0"/>
        <w:spacing w:line="360" w:lineRule="auto"/>
        <w:rPr>
          <w:rFonts w:ascii="Times New Roman" w:hAnsi="Times New Roman"/>
          <w:caps w:val="0"/>
        </w:rPr>
      </w:pPr>
    </w:p>
    <w:p>
      <w:pPr>
        <w:snapToGrid w:val="0"/>
        <w:spacing w:line="360" w:lineRule="auto"/>
        <w:rPr>
          <w:rFonts w:ascii="Times New Roman" w:hAnsi="Times New Roman"/>
          <w:caps w:val="0"/>
        </w:rPr>
      </w:pPr>
    </w:p>
    <w:p>
      <w:pPr>
        <w:adjustRightInd w:val="0"/>
        <w:snapToGrid w:val="0"/>
        <w:spacing w:line="360" w:lineRule="auto"/>
        <w:ind w:firstLine="632" w:firstLineChars="200"/>
        <w:rPr>
          <w:rFonts w:ascii="Times New Roman" w:hAnsi="Times New Roman"/>
        </w:rPr>
        <w:sectPr>
          <w:headerReference r:id="rId11" w:type="default"/>
          <w:pgSz w:w="11906" w:h="16838"/>
          <w:pgMar w:top="2098" w:right="1474" w:bottom="1984" w:left="1587" w:header="851" w:footer="1531" w:gutter="0"/>
          <w:pgNumType w:fmt="decimal"/>
          <w:cols w:space="720" w:num="1"/>
          <w:rtlGutter w:val="0"/>
          <w:docGrid w:type="linesAndChars" w:linePitch="579" w:charSpace="-842"/>
        </w:sectPr>
      </w:pPr>
    </w:p>
    <w:p>
      <w:pPr>
        <w:pStyle w:val="3"/>
        <w:keepNext/>
        <w:keepLines/>
        <w:widowControl w:val="0"/>
        <w:wordWrap/>
        <w:adjustRightInd/>
        <w:snapToGrid/>
        <w:spacing w:beforeLines="50" w:afterLines="50" w:line="240" w:lineRule="auto"/>
        <w:ind w:firstLine="632" w:firstLineChars="200"/>
        <w:jc w:val="both"/>
        <w:textAlignment w:val="auto"/>
        <w:rPr>
          <w:rFonts w:hint="eastAsia" w:ascii="Times New Roman" w:hAnsi="Times New Roman" w:eastAsia="黑体" w:cs="黑体"/>
          <w:b w:val="0"/>
          <w:bCs w:val="0"/>
          <w:caps w:val="0"/>
          <w:sz w:val="32"/>
          <w:szCs w:val="32"/>
        </w:rPr>
      </w:pPr>
      <w:bookmarkStart w:id="54" w:name="_Toc88053816"/>
      <w:r>
        <w:rPr>
          <w:rFonts w:hint="default" w:ascii="Times New Roman" w:hAnsi="Times New Roman" w:eastAsia="黑体" w:cs="Times New Roman"/>
          <w:b w:val="0"/>
          <w:bCs w:val="0"/>
          <w:caps w:val="0"/>
          <w:sz w:val="32"/>
          <w:szCs w:val="32"/>
        </w:rPr>
        <w:t>6、</w:t>
      </w:r>
      <w:r>
        <w:rPr>
          <w:rFonts w:hint="eastAsia" w:ascii="Times New Roman" w:hAnsi="Times New Roman" w:eastAsia="黑体" w:cs="黑体"/>
          <w:b w:val="0"/>
          <w:bCs w:val="0"/>
          <w:caps w:val="0"/>
          <w:sz w:val="32"/>
          <w:szCs w:val="32"/>
        </w:rPr>
        <w:t>环境保护规划方案</w:t>
      </w:r>
      <w:bookmarkEnd w:id="54"/>
    </w:p>
    <w:p>
      <w:pPr>
        <w:pStyle w:val="4"/>
        <w:keepNext/>
        <w:keepLines/>
        <w:widowControl w:val="0"/>
        <w:wordWrap/>
        <w:adjustRightInd/>
        <w:snapToGrid/>
        <w:spacing w:beforeLines="50" w:afterLines="50" w:line="240" w:lineRule="auto"/>
        <w:ind w:firstLine="632" w:firstLineChars="200"/>
        <w:jc w:val="both"/>
        <w:textAlignment w:val="auto"/>
        <w:rPr>
          <w:rFonts w:ascii="Times New Roman" w:hAnsi="Times New Roman" w:eastAsia="宋体"/>
          <w:caps w:val="0"/>
          <w:sz w:val="32"/>
          <w:szCs w:val="32"/>
        </w:rPr>
      </w:pPr>
      <w:bookmarkStart w:id="55" w:name="_Toc88053817"/>
      <w:r>
        <w:rPr>
          <w:rFonts w:hint="default" w:ascii="Times New Roman" w:hAnsi="Times New Roman" w:eastAsia="楷体_GB2312" w:cs="Times New Roman"/>
          <w:b w:val="0"/>
          <w:bCs w:val="0"/>
          <w:caps w:val="0"/>
          <w:sz w:val="32"/>
          <w:szCs w:val="32"/>
        </w:rPr>
        <w:t>6.1</w:t>
      </w:r>
      <w:r>
        <w:rPr>
          <w:rFonts w:hint="eastAsia" w:ascii="Times New Roman" w:hAnsi="Times New Roman" w:eastAsia="楷体_GB2312" w:cs="楷体_GB2312"/>
          <w:b w:val="0"/>
          <w:bCs w:val="0"/>
          <w:caps w:val="0"/>
          <w:sz w:val="32"/>
          <w:szCs w:val="32"/>
        </w:rPr>
        <w:t>绿色发展规划</w:t>
      </w:r>
      <w:bookmarkEnd w:id="55"/>
    </w:p>
    <w:p>
      <w:pPr>
        <w:widowControl w:val="0"/>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56" w:name="_Toc88053818"/>
      <w:r>
        <w:rPr>
          <w:rFonts w:ascii="Times New Roman" w:hAnsi="Times New Roman"/>
          <w:b/>
          <w:caps w:val="0"/>
          <w:sz w:val="32"/>
          <w:szCs w:val="32"/>
        </w:rPr>
        <w:t>6.1.1推动构建区域绿色发展新格局</w:t>
      </w:r>
      <w:bookmarkEnd w:id="56"/>
    </w:p>
    <w:p>
      <w:pPr>
        <w:widowControl w:val="0"/>
        <w:wordWrap/>
        <w:adjustRightInd w:val="0"/>
        <w:snapToGrid/>
        <w:spacing w:line="592" w:lineRule="exact"/>
        <w:ind w:firstLine="632" w:firstLineChars="200"/>
        <w:jc w:val="both"/>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优化国土空间开发保护，坚持多规合一、全域管控，高质量推进国土空间规划，统筹安排城市生态、农业、城镇空间，构建科学合理、高质量的美丽国土空间格局。中部、南部着重做实做强空铁融合发展示范区，拓空间、提品质，大力集聚总部经济、现代商贸、绿色金融等高端业态和高端人才，打造宜居宜业宜游的都市生活圈。东部积极承接广深港澳科技要素，大力发展临空经济、人工智能和数字经济，提升科技创新能力，布局新产业，发展新业态，培育新动能，以城市更新改造带动城乡面貌全面提升。西部着重顺应广佛深度融合发展趋势，推动汽车、皮革皮具、化妆品、珠宝等优势产业高质量发展，积极拓展城市功能，完善基础设施配套。北部着重做优做强生态功能、绿色经济，坚持保护和开发并重，打造花都北部生态屏障。</w:t>
      </w:r>
    </w:p>
    <w:p>
      <w:pPr>
        <w:widowControl w:val="0"/>
        <w:wordWrap/>
        <w:adjustRightInd w:val="0"/>
        <w:snapToGrid/>
        <w:spacing w:line="592" w:lineRule="exact"/>
        <w:ind w:firstLine="632" w:firstLineChars="200"/>
        <w:jc w:val="both"/>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推动“三线一单”落地实施并适时更新调整。根据“三线一单”成果推动环境空间管控。科学优化环境管控单元，合理更新生态环境准入清单，明确空间布局管控、能源资源利用、污染物排放管控、环境风险防控等要求，建立完善环境管控一张图。调整优化产业集群发展空间布局。</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深化区域绿色协调发展。全力参与推动粤港澳大湾区建设，依托绿色金融改革创新试验区，进一步加强与港澳金融机构、监管机构合作，积极引入港澳地区金融机构落户，推进跨境投融资创新和扩大专业资格互认，探索建立具有花都特点，体现大湾区特色的绿色金融产品体系、认证体系、评价体系，共建大湾区绿色金融标准。高水平建设粤港澳大湾区北部生态文化旅游合作区。强力协同推进广清一体化，加强区域生态环保合作，建立联动治理机制，加强广清跨界流域河涌综合整治联动，共同打击非法转移、倾倒固体废弃物等违法行为，共同治理跨界环境，共创青山绿水。</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推动国家生态文明建设示范区创建及年度评估工作。编制发布生态文明建设示范区建设规划。按照国家生态文明建设示范区建设指标等要求推进相关工作</w:t>
      </w:r>
      <w:r>
        <w:rPr>
          <w:rFonts w:hint="eastAsia"/>
          <w:caps w:val="0"/>
          <w:sz w:val="32"/>
          <w:szCs w:val="32"/>
          <w:lang w:eastAsia="zh-CN"/>
        </w:rPr>
        <w:t>，</w:t>
      </w:r>
      <w:r>
        <w:rPr>
          <w:rFonts w:ascii="Times New Roman" w:hAnsi="Times New Roman"/>
          <w:caps w:val="0"/>
          <w:sz w:val="32"/>
          <w:szCs w:val="32"/>
        </w:rPr>
        <w:t>力争2025年前完成国家生态文明示范区的创建。在完成示范区创建后，根据生态环境部有关国家生态文明建设示范区管理规程和国家生态文明建设示范县、市指标等文件要求，结合花都区实际情况，对创建成功后的花都区生态文明建设示范区进行年度评估。</w:t>
      </w:r>
    </w:p>
    <w:p>
      <w:pPr>
        <w:widowControl w:val="0"/>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57" w:name="_Toc88053819"/>
      <w:r>
        <w:rPr>
          <w:rFonts w:ascii="Times New Roman" w:hAnsi="Times New Roman"/>
          <w:b/>
          <w:caps w:val="0"/>
          <w:sz w:val="32"/>
          <w:szCs w:val="32"/>
        </w:rPr>
        <w:t>6.1.2持续推动结构优化升级</w:t>
      </w:r>
      <w:bookmarkEnd w:id="57"/>
    </w:p>
    <w:p>
      <w:pPr>
        <w:widowControl w:val="0"/>
        <w:wordWrap/>
        <w:adjustRightInd w:val="0"/>
        <w:snapToGrid/>
        <w:spacing w:line="240" w:lineRule="auto"/>
        <w:ind w:firstLine="632" w:firstLineChars="200"/>
        <w:jc w:val="both"/>
        <w:textAlignment w:val="auto"/>
        <w:rPr>
          <w:rFonts w:hint="eastAsia" w:ascii="Times New Roman" w:hAnsi="Times New Roman" w:eastAsia="仿宋_GB2312" w:cs="仿宋_GB2312"/>
          <w:caps w:val="0"/>
          <w:sz w:val="32"/>
          <w:szCs w:val="32"/>
        </w:rPr>
      </w:pPr>
      <w:r>
        <w:rPr>
          <w:rFonts w:ascii="Times New Roman" w:hAnsi="Times New Roman"/>
          <w:caps w:val="0"/>
          <w:sz w:val="32"/>
          <w:szCs w:val="32"/>
        </w:rPr>
        <w:t>优化提升城市功能结构。推进城市有机更新提质增效，重点推进机场周边区域、花都湖南部片区旧村庄以及广州北站、主城区CBD片区周边旧村庄改造。将生态环境建设作为提升城市竞争力的重要抓手，与土地综合整治、生态旅游等深度融合，以环</w:t>
      </w:r>
      <w:r>
        <w:rPr>
          <w:rFonts w:hint="eastAsia" w:ascii="Times New Roman" w:hAnsi="Times New Roman" w:eastAsia="仿宋_GB2312" w:cs="仿宋_GB2312"/>
          <w:caps w:val="0"/>
          <w:sz w:val="32"/>
          <w:szCs w:val="32"/>
        </w:rPr>
        <w:t>境再造提升人居生活品质，吸引高端创新资源，推动城市整体升级。采用“绣花功夫”实施生态修复和城市修补，不搞大拆大建，建设高质量城市生态系统。支持绿色生态小区建设和海绵城市建设。</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hint="eastAsia" w:ascii="Times New Roman" w:hAnsi="Times New Roman" w:eastAsia="仿宋_GB2312" w:cs="仿宋_GB2312"/>
          <w:caps w:val="0"/>
          <w:sz w:val="32"/>
          <w:szCs w:val="32"/>
        </w:rPr>
        <w:t>推动能源结构性调整。加大能源“双控”力度。适应生态文明建设需要，建设清洁低碳、安全高效的现代能源支撑系统。推进花都能源供给侧结构性改革，提高能源清洁利用水平，实现全社会煤炭消费总量负增长，进一步加大天然气替代力度，加大非化石能源占一次能源消费比重。加快能源体制机制创新，加强能源基础设施和公共服务能力建设，积极推进炭步调压站、空港调压站、狮岭调压站、横沙调压站等</w:t>
      </w:r>
      <w:r>
        <w:rPr>
          <w:rFonts w:ascii="Times New Roman" w:hAnsi="Times New Roman"/>
          <w:caps w:val="0"/>
          <w:sz w:val="32"/>
          <w:szCs w:val="32"/>
        </w:rPr>
        <w:t>4个调压站的建设，显著提高能源服务水平，重点推进智能电网、能源互联网建设，提升农村能源建设水平。提升能源安全保障水平，进一步提升中心城区及重点区域供电可靠性，电、煤、天然气、成品油等主要能源品种的储备能力进一步提升。大力推进能源科技创新、能源应用示范，大力发展氢能、锂电产业，提升花都新能源产业水平。</w:t>
      </w:r>
    </w:p>
    <w:p>
      <w:pPr>
        <w:widowControl w:val="0"/>
        <w:wordWrap/>
        <w:adjustRightInd w:val="0"/>
        <w:snapToGrid/>
        <w:spacing w:line="240" w:lineRule="auto"/>
        <w:ind w:firstLine="632" w:firstLineChars="200"/>
        <w:jc w:val="both"/>
        <w:textAlignment w:val="auto"/>
        <w:rPr>
          <w:rFonts w:hint="eastAsia" w:ascii="Times New Roman" w:hAnsi="Times New Roman" w:eastAsia="仿宋_GB2312" w:cs="仿宋_GB2312"/>
          <w:caps w:val="0"/>
          <w:sz w:val="32"/>
          <w:szCs w:val="32"/>
        </w:rPr>
      </w:pPr>
      <w:r>
        <w:rPr>
          <w:rFonts w:ascii="Times New Roman" w:hAnsi="Times New Roman"/>
          <w:caps w:val="0"/>
          <w:sz w:val="32"/>
          <w:szCs w:val="32"/>
        </w:rPr>
        <w:t>构建绿色产业结构。坚持把生态环境保护作为硬约束、硬指标，按照环境容量优化经济布局，</w:t>
      </w:r>
      <w:bookmarkStart w:id="58" w:name="_Hlk88379238"/>
      <w:r>
        <w:rPr>
          <w:rFonts w:ascii="Times New Roman" w:hAnsi="Times New Roman"/>
          <w:caps w:val="0"/>
          <w:sz w:val="32"/>
          <w:szCs w:val="32"/>
        </w:rPr>
        <w:t>完善产业</w:t>
      </w:r>
      <w:r>
        <w:rPr>
          <w:rFonts w:hint="eastAsia" w:ascii="Times New Roman" w:hAnsi="Times New Roman"/>
          <w:caps w:val="0"/>
          <w:sz w:val="32"/>
          <w:szCs w:val="32"/>
        </w:rPr>
        <w:t>生态环境</w:t>
      </w:r>
      <w:r>
        <w:rPr>
          <w:rFonts w:ascii="Times New Roman" w:hAnsi="Times New Roman"/>
          <w:caps w:val="0"/>
          <w:sz w:val="32"/>
          <w:szCs w:val="32"/>
        </w:rPr>
        <w:t>准入清单</w:t>
      </w:r>
      <w:bookmarkEnd w:id="58"/>
      <w:r>
        <w:rPr>
          <w:rFonts w:ascii="Times New Roman" w:hAnsi="Times New Roman"/>
          <w:caps w:val="0"/>
          <w:sz w:val="32"/>
          <w:szCs w:val="32"/>
        </w:rPr>
        <w:t>，严把项目环境准入关，不断加大落后产能淘汰力度。实施差异化绿色信贷政策，引导资金向绿色产业倾斜。支持推动传统产业绿色化转型，加快化妆品产业园区规划建设。变革传统生产方式，推动资源节约集约循环利用。严格实行水资源消耗、建设用地等</w:t>
      </w:r>
      <w:r>
        <w:rPr>
          <w:rFonts w:hint="eastAsia" w:ascii="Times New Roman" w:hAnsi="Times New Roman" w:eastAsia="仿宋_GB2312" w:cs="仿宋_GB2312"/>
          <w:caps w:val="0"/>
          <w:sz w:val="32"/>
          <w:szCs w:val="32"/>
        </w:rPr>
        <w:t>总量和强度“双控”制度，推动资源利用方式加快转变。坚决淘汰高污染、高排放企业。重点行业全面推进清洁化改造，鼓励企业采用先进适用清洁生产工艺技术实施升级改造，实现制造业生产过程绿色化。</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hint="eastAsia" w:ascii="Times New Roman" w:hAnsi="Times New Roman" w:eastAsia="仿宋_GB2312" w:cs="仿宋_GB2312"/>
          <w:caps w:val="0"/>
          <w:sz w:val="32"/>
          <w:szCs w:val="32"/>
        </w:rPr>
        <w:t>大力优化交通运输结构。优化调整交通运输结构，推动中长距离大宗货物由公路运输转向铁路运输，大力发展“公转铁”。依托白云国际机场和广州北站，建成畅联全市、畅通全省、贯通全国、联通全球的现代化交通体系网络，创新“白云机场</w:t>
      </w:r>
      <w:r>
        <w:rPr>
          <w:rFonts w:hint="eastAsia" w:ascii="Times New Roman" w:hAnsi="Times New Roman" w:cs="仿宋_GB2312"/>
          <w:caps w:val="0"/>
          <w:sz w:val="32"/>
          <w:szCs w:val="32"/>
          <w:lang w:eastAsia="zh-CN"/>
        </w:rPr>
        <w:t>—</w:t>
      </w:r>
      <w:r>
        <w:rPr>
          <w:rFonts w:hint="eastAsia" w:ascii="Times New Roman" w:hAnsi="Times New Roman" w:eastAsia="仿宋_GB2312" w:cs="仿宋_GB2312"/>
          <w:caps w:val="0"/>
          <w:sz w:val="32"/>
          <w:szCs w:val="32"/>
        </w:rPr>
        <w:t>广州北站”一体化空铁联运模式，实现高铁、城轨、地铁、公交等各类交通方式无缝衔接、高效换乘。积极推进公路交通运输燃料清洁化，推动长途重载运输卡车使用</w:t>
      </w:r>
      <w:r>
        <w:rPr>
          <w:rFonts w:ascii="Times New Roman" w:hAnsi="Times New Roman"/>
          <w:caps w:val="0"/>
          <w:sz w:val="32"/>
          <w:szCs w:val="32"/>
        </w:rPr>
        <w:t>LNG清洁能源（或氢能源），加快推进出租车、网约车、泥头车、物流运输车等电动化（或改用氢燃料电池），加快充电桩、加气站、加氢站以及综合性能源补给站建设。</w:t>
      </w:r>
    </w:p>
    <w:p>
      <w:pPr>
        <w:widowControl w:val="0"/>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59" w:name="_Toc88053820"/>
      <w:r>
        <w:rPr>
          <w:rFonts w:ascii="Times New Roman" w:hAnsi="Times New Roman"/>
          <w:b/>
          <w:caps w:val="0"/>
          <w:sz w:val="32"/>
          <w:szCs w:val="32"/>
        </w:rPr>
        <w:t>6.1.3大力强化绿色科技创新</w:t>
      </w:r>
      <w:bookmarkEnd w:id="59"/>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加强绿色科技创新，构建市场导向的绿色技术创新体系，强化节能减污降耗增效。将绿色低碳循环理念有机融入生产全过程，引导企业开展工业产品生态（绿色）设计，从源头减少废物产生和污染排放。综合利用5G、NB</w:t>
      </w:r>
      <w:r>
        <w:rPr>
          <w:rFonts w:hint="eastAsia" w:ascii="Times New Roman" w:hAnsi="Times New Roman" w:eastAsia="仿宋_GB2312" w:cs="仿宋_GB2312"/>
          <w:caps w:val="0"/>
          <w:sz w:val="32"/>
          <w:szCs w:val="32"/>
        </w:rPr>
        <w:t>-</w:t>
      </w:r>
      <w:r>
        <w:rPr>
          <w:rFonts w:ascii="Times New Roman" w:hAnsi="Times New Roman"/>
          <w:caps w:val="0"/>
          <w:sz w:val="32"/>
          <w:szCs w:val="32"/>
        </w:rPr>
        <w:t>IoT</w:t>
      </w:r>
      <w:r>
        <w:rPr>
          <w:rFonts w:hint="eastAsia" w:ascii="Times New Roman" w:hAnsi="Times New Roman" w:eastAsia="仿宋_GB2312" w:cs="仿宋_GB2312"/>
          <w:caps w:val="0"/>
          <w:sz w:val="32"/>
          <w:szCs w:val="32"/>
        </w:rPr>
        <w:t>等新一代信息技术，建设城市生态环境监测网络。借助大数据等高新技术，深化生态环境大数据建设和智慧化管理。以“国家环境友好企业”东风日产乘用车公司为示范单位，继续鼓励企业开展绿色科技创新，研究出一批</w:t>
      </w:r>
      <w:r>
        <w:rPr>
          <w:rFonts w:ascii="Times New Roman" w:hAnsi="Times New Roman"/>
          <w:caps w:val="0"/>
          <w:sz w:val="32"/>
          <w:szCs w:val="32"/>
        </w:rPr>
        <w:t>可复制、可推广的绿色技术，提升技术创新对绿色增长的产业化支撑能力。</w:t>
      </w:r>
    </w:p>
    <w:p>
      <w:pPr>
        <w:widowControl w:val="0"/>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60" w:name="_Toc88053821"/>
      <w:r>
        <w:rPr>
          <w:rFonts w:ascii="Times New Roman" w:hAnsi="Times New Roman"/>
          <w:b/>
          <w:caps w:val="0"/>
          <w:sz w:val="32"/>
          <w:szCs w:val="32"/>
        </w:rPr>
        <w:t>6.1.4大力倡导绿色低碳生活方式</w:t>
      </w:r>
      <w:bookmarkEnd w:id="60"/>
    </w:p>
    <w:p>
      <w:pPr>
        <w:widowControl w:val="0"/>
        <w:wordWrap/>
        <w:adjustRightInd w:val="0"/>
        <w:snapToGrid/>
        <w:spacing w:line="240" w:lineRule="auto"/>
        <w:ind w:firstLine="632" w:firstLineChars="200"/>
        <w:jc w:val="both"/>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全面开展绿色生活创建。开展节约型机关、绿色家庭、绿色学校、绿色社区、绿色出行、绿色商场、绿色建筑等七个重点领域的创建行动。</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hint="eastAsia" w:ascii="Times New Roman" w:hAnsi="Times New Roman" w:eastAsia="仿宋_GB2312" w:cs="仿宋_GB2312"/>
          <w:caps w:val="0"/>
          <w:sz w:val="32"/>
          <w:szCs w:val="32"/>
        </w:rPr>
        <w:t>开展节能减碳全民行动，引导公众在衣食住行等方面践行简约适度、绿色低碳的生活方式。倡导绿色生活，引导消费者自觉落实“光盘行动”。限制使用一次性不可降解塑料袋、塑料餐具，推广使用可循环利用物品。推广绿色消费，培育公众绿色消费观。倡导绿色居住，鼓励既有建筑节能改造，支持绿色生态小区建设和海绵城市建设。大力倡导绿色交通，加快新能源汽车推广，完善综合交通体系，鼓励公众绿色出行。全面推进生活垃圾分类和资源化利用，完善生活垃圾分类的制度体系，引导和督促各行业、各地区和各场所开展垃圾分类，实现全区覆盖。加强垃圾分类宣传推广，提高市民垃圾分类的参与率、准确率</w:t>
      </w:r>
      <w:r>
        <w:rPr>
          <w:rFonts w:ascii="Times New Roman" w:hAnsi="Times New Roman"/>
          <w:caps w:val="0"/>
          <w:sz w:val="32"/>
          <w:szCs w:val="32"/>
        </w:rPr>
        <w:t>。</w:t>
      </w:r>
    </w:p>
    <w:p>
      <w:pPr>
        <w:pStyle w:val="4"/>
        <w:keepNext/>
        <w:keepLines/>
        <w:widowControl w:val="0"/>
        <w:wordWrap/>
        <w:adjustRightInd/>
        <w:snapToGrid/>
        <w:spacing w:beforeLines="50" w:afterLines="50" w:line="240" w:lineRule="auto"/>
        <w:ind w:firstLine="632" w:firstLineChars="200"/>
        <w:jc w:val="both"/>
        <w:textAlignment w:val="auto"/>
        <w:rPr>
          <w:rFonts w:ascii="Times New Roman" w:hAnsi="Times New Roman" w:eastAsia="宋体"/>
          <w:b w:val="0"/>
          <w:bCs w:val="0"/>
          <w:caps w:val="0"/>
          <w:sz w:val="32"/>
          <w:szCs w:val="32"/>
        </w:rPr>
      </w:pPr>
      <w:bookmarkStart w:id="61" w:name="_Toc88053822"/>
      <w:bookmarkStart w:id="62" w:name="_Toc362448443"/>
      <w:bookmarkStart w:id="63" w:name="_Toc88053826"/>
      <w:r>
        <w:rPr>
          <w:rFonts w:ascii="Times New Roman" w:hAnsi="Times New Roman" w:eastAsia="宋体"/>
          <w:b w:val="0"/>
          <w:bCs w:val="0"/>
          <w:caps w:val="0"/>
          <w:sz w:val="32"/>
          <w:szCs w:val="32"/>
        </w:rPr>
        <w:t>6.2</w:t>
      </w:r>
      <w:r>
        <w:rPr>
          <w:rFonts w:hint="eastAsia" w:ascii="Times New Roman" w:hAnsi="Times New Roman" w:eastAsia="楷体_GB2312" w:cs="楷体_GB2312"/>
          <w:b w:val="0"/>
          <w:bCs w:val="0"/>
          <w:caps w:val="0"/>
          <w:sz w:val="32"/>
          <w:szCs w:val="32"/>
        </w:rPr>
        <w:t>应对气候变化规划</w:t>
      </w:r>
      <w:bookmarkEnd w:id="61"/>
    </w:p>
    <w:p>
      <w:pPr>
        <w:widowControl w:val="0"/>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64" w:name="_Toc69484607"/>
      <w:bookmarkStart w:id="65" w:name="_Toc88053823"/>
      <w:r>
        <w:rPr>
          <w:rFonts w:ascii="Times New Roman" w:hAnsi="Times New Roman"/>
          <w:b/>
          <w:caps w:val="0"/>
          <w:sz w:val="32"/>
          <w:szCs w:val="32"/>
        </w:rPr>
        <w:t>6.2.1加强温室气体排放控制</w:t>
      </w:r>
      <w:bookmarkEnd w:id="64"/>
      <w:bookmarkEnd w:id="65"/>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开展二氧化碳排放达峰行动，落实低碳发展路线图，推动碳排放达峰。制定实施能源、工业、交通和建筑等重点领域达峰行动方案，鼓励大型企业制定达峰行动方案。开展碳中和战略研究，明确中长期应对气候变化工作路径。</w:t>
      </w:r>
      <w:bookmarkStart w:id="66" w:name="_Hlk88209522"/>
      <w:r>
        <w:rPr>
          <w:rFonts w:hint="eastAsia" w:ascii="Times New Roman" w:hAnsi="Times New Roman"/>
          <w:caps w:val="0"/>
          <w:sz w:val="32"/>
          <w:szCs w:val="32"/>
        </w:rPr>
        <w:t>推动各领域碳减排工作，</w:t>
      </w:r>
      <w:r>
        <w:rPr>
          <w:rFonts w:ascii="Times New Roman" w:hAnsi="Times New Roman"/>
          <w:caps w:val="0"/>
          <w:sz w:val="32"/>
          <w:szCs w:val="32"/>
        </w:rPr>
        <w:t>争取</w:t>
      </w:r>
      <w:r>
        <w:rPr>
          <w:rFonts w:hint="eastAsia" w:ascii="Times New Roman" w:hAnsi="Times New Roman"/>
          <w:caps w:val="0"/>
          <w:sz w:val="32"/>
          <w:szCs w:val="32"/>
        </w:rPr>
        <w:t>在</w:t>
      </w:r>
      <w:r>
        <w:rPr>
          <w:rFonts w:ascii="Times New Roman" w:hAnsi="Times New Roman"/>
          <w:caps w:val="0"/>
          <w:sz w:val="32"/>
          <w:szCs w:val="32"/>
        </w:rPr>
        <w:t>2025年</w:t>
      </w:r>
      <w:r>
        <w:rPr>
          <w:rFonts w:hint="eastAsia" w:ascii="Times New Roman" w:hAnsi="Times New Roman"/>
          <w:caps w:val="0"/>
          <w:sz w:val="32"/>
          <w:szCs w:val="32"/>
        </w:rPr>
        <w:t>前碳达峰工作取得突破</w:t>
      </w:r>
      <w:r>
        <w:rPr>
          <w:rFonts w:ascii="Times New Roman" w:hAnsi="Times New Roman"/>
          <w:caps w:val="0"/>
          <w:sz w:val="32"/>
          <w:szCs w:val="32"/>
        </w:rPr>
        <w:t>，2030年</w:t>
      </w:r>
      <w:r>
        <w:rPr>
          <w:rFonts w:hint="eastAsia" w:ascii="Times New Roman" w:hAnsi="Times New Roman"/>
          <w:caps w:val="0"/>
          <w:sz w:val="32"/>
          <w:szCs w:val="32"/>
        </w:rPr>
        <w:t>前实现花都区碳排放达峰</w:t>
      </w:r>
      <w:r>
        <w:rPr>
          <w:rFonts w:ascii="Times New Roman" w:hAnsi="Times New Roman"/>
          <w:caps w:val="0"/>
          <w:sz w:val="32"/>
          <w:szCs w:val="32"/>
        </w:rPr>
        <w:t>。</w:t>
      </w:r>
      <w:bookmarkEnd w:id="66"/>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推动能源清洁低碳安全高效利用，构建低碳能源体系，推动绿色电力发展，大力发展太阳能、天然气、氢能等低碳能源</w:t>
      </w:r>
      <w:r>
        <w:rPr>
          <w:rFonts w:hint="eastAsia" w:ascii="Times New Roman" w:hAnsi="Times New Roman"/>
          <w:caps w:val="0"/>
          <w:sz w:val="32"/>
          <w:szCs w:val="32"/>
        </w:rPr>
        <w:t>，</w:t>
      </w:r>
      <w:bookmarkStart w:id="67" w:name="_Hlk88209549"/>
      <w:r>
        <w:rPr>
          <w:rFonts w:hint="eastAsia" w:ascii="Times New Roman" w:hAnsi="Times New Roman"/>
          <w:caps w:val="0"/>
          <w:sz w:val="32"/>
          <w:szCs w:val="32"/>
        </w:rPr>
        <w:t>推广</w:t>
      </w:r>
      <w:r>
        <w:rPr>
          <w:rFonts w:ascii="Times New Roman" w:hAnsi="Times New Roman"/>
          <w:caps w:val="0"/>
          <w:sz w:val="32"/>
          <w:szCs w:val="32"/>
        </w:rPr>
        <w:t>东风日产光伏发电项目</w:t>
      </w:r>
      <w:r>
        <w:rPr>
          <w:rFonts w:hint="eastAsia" w:ascii="Times New Roman" w:hAnsi="Times New Roman"/>
          <w:caps w:val="0"/>
          <w:sz w:val="32"/>
          <w:szCs w:val="32"/>
        </w:rPr>
        <w:t>先进经验</w:t>
      </w:r>
      <w:r>
        <w:rPr>
          <w:rFonts w:ascii="Times New Roman" w:hAnsi="Times New Roman"/>
          <w:caps w:val="0"/>
          <w:sz w:val="32"/>
          <w:szCs w:val="32"/>
        </w:rPr>
        <w:t>，</w:t>
      </w:r>
      <w:bookmarkEnd w:id="67"/>
      <w:r>
        <w:rPr>
          <w:rFonts w:hint="eastAsia" w:ascii="Times New Roman" w:hAnsi="Times New Roman"/>
          <w:caps w:val="0"/>
          <w:sz w:val="32"/>
          <w:szCs w:val="32"/>
        </w:rPr>
        <w:t>探索推进太阳能发电开发和高质量发展，</w:t>
      </w:r>
      <w:r>
        <w:rPr>
          <w:rFonts w:ascii="Times New Roman" w:hAnsi="Times New Roman"/>
          <w:caps w:val="0"/>
          <w:sz w:val="32"/>
          <w:szCs w:val="32"/>
        </w:rPr>
        <w:t>提高可再生能源消费比例</w:t>
      </w:r>
      <w:r>
        <w:rPr>
          <w:rFonts w:hint="eastAsia" w:ascii="Times New Roman" w:hAnsi="Times New Roman"/>
          <w:caps w:val="0"/>
          <w:sz w:val="32"/>
          <w:szCs w:val="32"/>
        </w:rPr>
        <w:t>。</w:t>
      </w:r>
      <w:bookmarkStart w:id="68" w:name="_Hlk88212964"/>
      <w:r>
        <w:rPr>
          <w:rFonts w:hint="eastAsia" w:ascii="Times New Roman" w:hAnsi="Times New Roman"/>
          <w:caps w:val="0"/>
          <w:sz w:val="32"/>
          <w:szCs w:val="32"/>
        </w:rPr>
        <w:t>持续推进热电联产项目建设，提高能源使用效率；继续严格控制煤炭消费量，推动水泥制造等重点行业减煤限煤</w:t>
      </w:r>
      <w:bookmarkEnd w:id="68"/>
      <w:r>
        <w:rPr>
          <w:rFonts w:ascii="Times New Roman" w:hAnsi="Times New Roman"/>
          <w:caps w:val="0"/>
          <w:sz w:val="32"/>
          <w:szCs w:val="32"/>
        </w:rPr>
        <w:t>。</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加速交通领域清洁燃料替代，推动长途重载运输卡车使用清洁能源，加快推进出租车、网约车、泥头车等电动化，争取2025年完成花都区辖下出租车纯电动化，2030年重载运输卡车使用清洁能源比例有所突破。</w:t>
      </w:r>
      <w:bookmarkStart w:id="69" w:name="_Hlk88213003"/>
      <w:r>
        <w:rPr>
          <w:rFonts w:hint="eastAsia" w:ascii="Times New Roman" w:hAnsi="Times New Roman"/>
          <w:caps w:val="0"/>
          <w:sz w:val="32"/>
          <w:szCs w:val="32"/>
        </w:rPr>
        <w:t>大力发展智能交通，利用花都区交通枢纽优势，推动不同运输方式合理分工、有效衔接，降低空载率和不合理客货运周转量。加快城乡物流配送体系建设，探索创新绿色低碳、集约高效的配送模式。开展交通基础设施绿色化提升改造，统筹利用综合运输通道线位、土地、空域等资源，提高交通资源利用效率。</w:t>
      </w:r>
      <w:bookmarkEnd w:id="69"/>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推动产业低碳化发展，促进传统产业绿色转型升级，开展水泥制造、汽车制造等重点行业全流程低碳化改造，</w:t>
      </w:r>
      <w:r>
        <w:rPr>
          <w:rFonts w:hint="eastAsia" w:ascii="Times New Roman" w:hAnsi="Times New Roman"/>
          <w:caps w:val="0"/>
          <w:sz w:val="32"/>
          <w:szCs w:val="32"/>
        </w:rPr>
        <w:t>提升生产能效水平。</w:t>
      </w:r>
      <w:r>
        <w:rPr>
          <w:rFonts w:ascii="Times New Roman" w:hAnsi="Times New Roman"/>
          <w:caps w:val="0"/>
          <w:sz w:val="32"/>
          <w:szCs w:val="32"/>
        </w:rPr>
        <w:t>推动重点行业企业开展碳排放强度对标行动。</w:t>
      </w:r>
      <w:bookmarkStart w:id="70" w:name="_Hlk88213016"/>
      <w:r>
        <w:rPr>
          <w:rFonts w:hint="eastAsia" w:ascii="Times New Roman" w:hAnsi="Times New Roman"/>
          <w:caps w:val="0"/>
          <w:sz w:val="32"/>
          <w:szCs w:val="32"/>
        </w:rPr>
        <w:t>推进重点产业园区循环化发展，优化园区空间布局，开展重点园区循环化改造，到2</w:t>
      </w:r>
      <w:r>
        <w:rPr>
          <w:rFonts w:ascii="Times New Roman" w:hAnsi="Times New Roman"/>
          <w:caps w:val="0"/>
          <w:sz w:val="32"/>
          <w:szCs w:val="32"/>
        </w:rPr>
        <w:t>030</w:t>
      </w:r>
      <w:r>
        <w:rPr>
          <w:rFonts w:hint="eastAsia" w:ascii="Times New Roman" w:hAnsi="Times New Roman"/>
          <w:caps w:val="0"/>
          <w:sz w:val="32"/>
          <w:szCs w:val="32"/>
        </w:rPr>
        <w:t>年，花都经济开发区完成循环化改造。监督越堡水泥厂实施错峰生产，鼓励企业使用粉煤灰、工业废渣、尾矿渣等作为原料或水泥混合材。</w:t>
      </w:r>
      <w:bookmarkEnd w:id="70"/>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hint="eastAsia" w:ascii="Times New Roman" w:hAnsi="Times New Roman"/>
          <w:caps w:val="0"/>
          <w:sz w:val="32"/>
          <w:szCs w:val="32"/>
        </w:rPr>
        <w:t>推进城乡建设绿色低碳转型，推动城市组团式发展，科学确定建设规模，控制新增建设用地过快增长。推进居住建筑和公共建筑节能改造，推动超低能耗建筑、低碳建筑规模化发展。</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开展减污降碳协同治理。开展碳排放清单建设及碳排放统计工作，深化温室气体清单编制和减排潜力分析，推动花都区中长期碳排放路径与空气质量协同关系评估，探索将碳排放评价与排污许可制度和清洁生产审核工作进行衔接，加强碳排放统计与环境统计体系、环境监测系统的对接。</w:t>
      </w:r>
    </w:p>
    <w:p>
      <w:pPr>
        <w:widowControl w:val="0"/>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71" w:name="_Toc69484608"/>
      <w:bookmarkStart w:id="72" w:name="_Toc88053824"/>
      <w:r>
        <w:rPr>
          <w:rFonts w:ascii="Times New Roman" w:hAnsi="Times New Roman"/>
          <w:b/>
          <w:caps w:val="0"/>
          <w:sz w:val="32"/>
          <w:szCs w:val="32"/>
        </w:rPr>
        <w:t>6.2.2深化低碳发展试点工作</w:t>
      </w:r>
      <w:bookmarkEnd w:id="71"/>
      <w:bookmarkEnd w:id="72"/>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推动温室气体相关统计和核算工作，推动跨部门数据互通互联。推动创建一批低碳示范项目、园区，争取2030年前完成</w:t>
      </w:r>
      <w:r>
        <w:rPr>
          <w:rFonts w:hint="eastAsia"/>
          <w:caps w:val="0"/>
          <w:sz w:val="32"/>
          <w:szCs w:val="32"/>
          <w:lang w:val="en-US" w:eastAsia="zh-CN"/>
        </w:rPr>
        <w:t>1</w:t>
      </w:r>
      <w:r>
        <w:rPr>
          <w:rFonts w:ascii="Times New Roman" w:hAnsi="Times New Roman"/>
          <w:caps w:val="0"/>
          <w:sz w:val="32"/>
          <w:szCs w:val="32"/>
        </w:rPr>
        <w:t>个低碳示范项目</w:t>
      </w:r>
      <w:r>
        <w:rPr>
          <w:rFonts w:hint="eastAsia" w:ascii="Times New Roman" w:hAnsi="Times New Roman"/>
          <w:caps w:val="0"/>
          <w:sz w:val="32"/>
          <w:szCs w:val="32"/>
          <w:lang w:eastAsia="zh-CN"/>
        </w:rPr>
        <w:t>的</w:t>
      </w:r>
      <w:r>
        <w:rPr>
          <w:rFonts w:ascii="Times New Roman" w:hAnsi="Times New Roman"/>
          <w:caps w:val="0"/>
          <w:sz w:val="32"/>
          <w:szCs w:val="32"/>
        </w:rPr>
        <w:t>创建。探索开展低碳企业、产品认证和碳足迹评价。探索推动企业温室气体排放信息披露。配合开展碳普惠制工作，建立完善广州碳普惠制运行体系。推动重点行业碳捕获、封存和利用技术发展。推动森林碳汇工程建设</w:t>
      </w:r>
      <w:bookmarkStart w:id="73" w:name="_Hlk88213032"/>
      <w:r>
        <w:rPr>
          <w:rFonts w:hint="eastAsia" w:ascii="Times New Roman" w:hAnsi="Times New Roman"/>
          <w:caps w:val="0"/>
          <w:sz w:val="32"/>
          <w:szCs w:val="32"/>
        </w:rPr>
        <w:t>，强化森林资源保护，实施森林质量精准提升工程，提高森林质量和稳定性</w:t>
      </w:r>
      <w:bookmarkEnd w:id="73"/>
      <w:r>
        <w:rPr>
          <w:rFonts w:ascii="Times New Roman" w:hAnsi="Times New Roman"/>
          <w:caps w:val="0"/>
          <w:sz w:val="32"/>
          <w:szCs w:val="32"/>
        </w:rPr>
        <w:t>。</w:t>
      </w:r>
      <w:bookmarkStart w:id="74" w:name="_Hlk88213038"/>
      <w:r>
        <w:rPr>
          <w:rFonts w:hint="eastAsia" w:ascii="Times New Roman" w:hAnsi="Times New Roman"/>
          <w:caps w:val="0"/>
          <w:sz w:val="32"/>
          <w:szCs w:val="32"/>
        </w:rPr>
        <w:t>配合广州市打造国家、省碳达峰碳中和试点。</w:t>
      </w:r>
      <w:bookmarkEnd w:id="74"/>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加强碳排放权交易管理。积极参与碳排放权交易市场建设，继续做好重点企业碳排放信息核查、配额清缴履约、配额调整等工作，用市场手段推动企业减少碳排放。鼓励核证减排量项目的开发和申报，鼓励企事业单位和个人参与自愿减排项目。深化碳排放权抵质押融资试点、林业碳汇生态补偿试点，积极争取国家生态产品价值实现机制试点落地。</w:t>
      </w:r>
    </w:p>
    <w:p>
      <w:pPr>
        <w:widowControl w:val="0"/>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75" w:name="_Toc69484609"/>
      <w:bookmarkStart w:id="76" w:name="_Toc88053825"/>
      <w:r>
        <w:rPr>
          <w:rFonts w:ascii="Times New Roman" w:hAnsi="Times New Roman"/>
          <w:b/>
          <w:caps w:val="0"/>
          <w:sz w:val="32"/>
          <w:szCs w:val="32"/>
        </w:rPr>
        <w:t>6.2.3提升气候变化适应能力</w:t>
      </w:r>
      <w:bookmarkEnd w:id="75"/>
      <w:bookmarkEnd w:id="76"/>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加强城市适应气候变化能力。在林业、农业、水资源、基础设施等重点领域积极开展适应气候变化行动。提高城市基础设施建设标准，提升城市能源供应系统、交通运输体系、建筑设施、自然生态等适应气候变化的能力。优化城市功能分区及空间设计，推广海绵城市建设模式，提高城市气候韧性。加强气候变化系统观测和基础研究，提高应对极端天气和气候事件能力。加强气候变化综合评估和风险管理，完善区域风险应对机制，提升风险应对能力。</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推动城市热岛效应改善工作。进行风廊划定、生态低碳城区、生态基础设施等城市规划实践，推进改善城市下垫面与表面热性能及应用节能举措等技术研究。探索中高强度开发新区规划设计中的城市降温举措，探索旧城降温降湿技术。</w:t>
      </w:r>
    </w:p>
    <w:p>
      <w:pPr>
        <w:pStyle w:val="4"/>
        <w:keepNext/>
        <w:keepLines/>
        <w:widowControl w:val="0"/>
        <w:wordWrap/>
        <w:adjustRightInd/>
        <w:snapToGrid/>
        <w:spacing w:beforeLines="50" w:afterLines="50" w:line="240" w:lineRule="auto"/>
        <w:ind w:firstLine="632" w:firstLineChars="200"/>
        <w:jc w:val="both"/>
        <w:textAlignment w:val="auto"/>
        <w:rPr>
          <w:rFonts w:ascii="Times New Roman" w:hAnsi="Times New Roman" w:eastAsia="宋体"/>
          <w:caps w:val="0"/>
          <w:sz w:val="32"/>
          <w:szCs w:val="32"/>
        </w:rPr>
      </w:pPr>
      <w:r>
        <w:rPr>
          <w:rFonts w:ascii="Times New Roman" w:hAnsi="Times New Roman" w:eastAsia="宋体"/>
          <w:caps w:val="0"/>
          <w:sz w:val="32"/>
          <w:szCs w:val="32"/>
        </w:rPr>
        <w:t>6.3</w:t>
      </w:r>
      <w:r>
        <w:rPr>
          <w:rFonts w:hint="eastAsia" w:ascii="Times New Roman" w:hAnsi="Times New Roman" w:eastAsia="楷体_GB2312" w:cs="楷体_GB2312"/>
          <w:caps w:val="0"/>
          <w:sz w:val="32"/>
          <w:szCs w:val="32"/>
        </w:rPr>
        <w:t>水环境保护规划</w:t>
      </w:r>
      <w:bookmarkEnd w:id="62"/>
      <w:bookmarkEnd w:id="63"/>
    </w:p>
    <w:p>
      <w:pPr>
        <w:widowControl w:val="0"/>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77" w:name="_Toc88053827"/>
      <w:r>
        <w:rPr>
          <w:rFonts w:ascii="Times New Roman" w:hAnsi="Times New Roman"/>
          <w:b/>
          <w:caps w:val="0"/>
          <w:sz w:val="32"/>
          <w:szCs w:val="32"/>
        </w:rPr>
        <w:t>6.3.1完善水环境空间管控</w:t>
      </w:r>
      <w:bookmarkEnd w:id="77"/>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hint="eastAsia" w:ascii="Times New Roman" w:hAnsi="Times New Roman" w:eastAsia="仿宋_GB2312" w:cs="仿宋_GB2312"/>
          <w:caps w:val="0"/>
          <w:sz w:val="32"/>
          <w:szCs w:val="32"/>
        </w:rPr>
        <w:t>进一步落实“三线一单”空间划分和管控要求，细化和明确管控区的管控范围，制定水环境管控区管控方案，明确相关职能部</w:t>
      </w:r>
      <w:r>
        <w:rPr>
          <w:rFonts w:ascii="Times New Roman" w:hAnsi="Times New Roman"/>
          <w:caps w:val="0"/>
          <w:sz w:val="32"/>
          <w:szCs w:val="32"/>
        </w:rPr>
        <w:t>门的职责分工和监管责任。根据水功能区要求和容量，引导区内产业发展、城镇建设和土地利用等格局的优化调整。根据水功能区水质要求，强化水质目标管理，对不达标的水体制定达标方案，进一步提高水功能区水质达标率。</w:t>
      </w:r>
    </w:p>
    <w:p>
      <w:pPr>
        <w:widowControl w:val="0"/>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78" w:name="_Toc88053828"/>
      <w:r>
        <w:rPr>
          <w:rFonts w:ascii="Times New Roman" w:hAnsi="Times New Roman"/>
          <w:b/>
          <w:caps w:val="0"/>
          <w:sz w:val="32"/>
          <w:szCs w:val="32"/>
        </w:rPr>
        <w:t>6.3.2加强饮用水水源水质保障</w:t>
      </w:r>
      <w:bookmarkEnd w:id="78"/>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强化饮用水水源保护区监管与保护。加强水源地周边河涌整治，完善水源保护区及周边区域污水收集系统，防止暴雨期污水溢流污染水源地水质。加大饮用水水源一级、二级保护区监管巡查力度，切实保障饮用水水源安全。加强对重点排污</w:t>
      </w:r>
      <w:r>
        <w:rPr>
          <w:rFonts w:hint="eastAsia" w:ascii="Times New Roman" w:hAnsi="Times New Roman"/>
          <w:caps w:val="0"/>
          <w:sz w:val="32"/>
          <w:szCs w:val="32"/>
        </w:rPr>
        <w:t>单位</w:t>
      </w:r>
      <w:r>
        <w:rPr>
          <w:rFonts w:ascii="Times New Roman" w:hAnsi="Times New Roman"/>
          <w:caps w:val="0"/>
          <w:sz w:val="32"/>
          <w:szCs w:val="32"/>
        </w:rPr>
        <w:t>监督管理，严厉打击违法排污行为。定期对饮用水水源保护区内建设项目、污染治理设施以及环境状况开展执法检查，落实污染源管理责任制。提升饮用水水源地环境监测与监控能力，建立完善水质自动监测网络体系，及时掌握饮用水水源水质状况。</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加强水源地规范化建设。完善饮用水水源保护区界标、交通警示和宣传牌建设，完善保护区周边隔离防护设施、防撞护栏、事故导流槽和应急池等应急防护设施建设，加强输油、输气管道的防泄漏措施建设。</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强化乡镇以下饮用水水源保护。全面开展区内农村级水源地调查，摸清农村水源地基本情况，继续推进乡镇以下水源地优化整合，逐步推进农村水源环境问题整治，建立和完善农村饮用水水源地环境监测体系，保障农村饮水安全。</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提升饮用水水源地突发环境风险防范的能力。定期或不定期开展饮用水水源地周边环境安全隐患排查及饮用水水源地环境风险评估，完善饮用水水源地专项应急预案，健全指挥管理系统，建立并动态更新饮用水水源地突发环境事件应急处置技术方案及应急专家库，提升突发环境事件应急处置能力。</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提升备用水源应急备用能力。加强芙蓉嶂水库、福源水库、三坑水库等备用水源水质保护工作，推进备用水源地污染源排查整治，动态监测备用水源</w:t>
      </w:r>
      <w:r>
        <w:rPr>
          <w:rFonts w:ascii="Times New Roman" w:hAnsi="Times New Roman"/>
          <w:caps w:val="0"/>
          <w:sz w:val="32"/>
          <w:szCs w:val="32"/>
          <w:highlight w:val="none"/>
        </w:rPr>
        <w:t>水质状况。</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强化跨界水源保护工作。继续推进流溪河等水源地跨界综合整治工作，加强联合执法，建立跨部门、跨地区监测信息共享制度，全面掌握跨界水源水环境信息，切实保障跨界水源水质安全。</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到2030年，城市常规水源和备用水源水质全面稳定达标，乡镇及农村水源水质稳定达标，形成完备的饮用水水源安全保障体系。</w:t>
      </w:r>
    </w:p>
    <w:p>
      <w:pPr>
        <w:widowControl w:val="0"/>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79" w:name="_Toc88053829"/>
      <w:r>
        <w:rPr>
          <w:rFonts w:ascii="Times New Roman" w:hAnsi="Times New Roman"/>
          <w:b/>
          <w:caps w:val="0"/>
          <w:sz w:val="32"/>
          <w:szCs w:val="32"/>
        </w:rPr>
        <w:t>6.3.3</w:t>
      </w:r>
      <w:bookmarkEnd w:id="79"/>
      <w:r>
        <w:rPr>
          <w:rFonts w:hint="eastAsia" w:ascii="Times New Roman" w:hAnsi="Times New Roman"/>
          <w:b/>
          <w:caps w:val="0"/>
          <w:sz w:val="32"/>
          <w:szCs w:val="32"/>
        </w:rPr>
        <w:t>强化生活、工业、农业“三源”治理</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（1）提升污水收集处理效能，大力削减生活污染源</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进一步完善城镇污水管网建设，加快补齐污水处理设施短板，全面提升管网覆盖率、污水收集率，力争到2025年，城市生活污水集中收集率达到85%，2030年达到88%。统筹城乡污水治理，逐步整合城乡污水处理系统，鼓励具备条件的城乡相邻地区污水处理设施共享共治，重点监管农村污水治理设施建设与运营情况，提升农村污水治理水平。重点推进污水治理提质增效，提高污水处理厂污染物进水浓度、运行负荷，着重强化污水处理设施脱氮除磷能力。加快推进雨污分流改造，以流域为体系、片区为单元，全面攻坚排水单元达标，力争在2025年前完成</w:t>
      </w:r>
      <w:r>
        <w:rPr>
          <w:rFonts w:hint="eastAsia" w:ascii="Times New Roman" w:hAnsi="Times New Roman"/>
          <w:caps w:val="0"/>
          <w:sz w:val="32"/>
          <w:szCs w:val="32"/>
        </w:rPr>
        <w:t>9</w:t>
      </w:r>
      <w:r>
        <w:rPr>
          <w:rFonts w:ascii="Times New Roman" w:hAnsi="Times New Roman"/>
          <w:caps w:val="0"/>
          <w:sz w:val="32"/>
          <w:szCs w:val="32"/>
        </w:rPr>
        <w:t>0</w:t>
      </w:r>
      <w:r>
        <w:rPr>
          <w:rFonts w:hint="eastAsia" w:ascii="Times New Roman" w:hAnsi="Times New Roman"/>
          <w:caps w:val="0"/>
          <w:sz w:val="32"/>
          <w:szCs w:val="32"/>
        </w:rPr>
        <w:t>%以上</w:t>
      </w:r>
      <w:r>
        <w:rPr>
          <w:rFonts w:ascii="Times New Roman" w:hAnsi="Times New Roman"/>
          <w:caps w:val="0"/>
          <w:sz w:val="32"/>
          <w:szCs w:val="32"/>
        </w:rPr>
        <w:t>花都区</w:t>
      </w:r>
      <w:r>
        <w:rPr>
          <w:rFonts w:hint="eastAsia" w:ascii="Times New Roman" w:hAnsi="Times New Roman"/>
          <w:caps w:val="0"/>
          <w:sz w:val="32"/>
          <w:szCs w:val="32"/>
        </w:rPr>
        <w:t>建成区</w:t>
      </w:r>
      <w:r>
        <w:rPr>
          <w:rFonts w:ascii="Times New Roman" w:hAnsi="Times New Roman"/>
          <w:caps w:val="0"/>
          <w:sz w:val="32"/>
          <w:szCs w:val="32"/>
        </w:rPr>
        <w:t>排水单元达标创建工作。逐步升级污水处理厂处理工艺，提升尾水水质，完善污水处理厂监控管理系统，对污水</w:t>
      </w:r>
      <w:r>
        <w:rPr>
          <w:rFonts w:hint="eastAsia"/>
          <w:caps w:val="0"/>
          <w:sz w:val="32"/>
          <w:szCs w:val="32"/>
          <w:lang w:eastAsia="zh-CN"/>
        </w:rPr>
        <w:t>处理</w:t>
      </w:r>
      <w:r>
        <w:rPr>
          <w:rFonts w:ascii="Times New Roman" w:hAnsi="Times New Roman"/>
          <w:caps w:val="0"/>
          <w:sz w:val="32"/>
          <w:szCs w:val="32"/>
        </w:rPr>
        <w:t>厂实施实时、全面的监控，确保尾水稳定达标排放。到2030年，基本实现污水收集处理设施全覆盖。</w:t>
      </w:r>
    </w:p>
    <w:p>
      <w:pPr>
        <w:widowControl w:val="0"/>
        <w:wordWrap/>
        <w:adjustRightInd w:val="0"/>
        <w:snapToGrid/>
        <w:spacing w:line="240" w:lineRule="auto"/>
        <w:ind w:firstLine="632" w:firstLineChars="200"/>
        <w:jc w:val="both"/>
        <w:textAlignment w:val="auto"/>
        <w:rPr>
          <w:rFonts w:hint="eastAsia" w:ascii="Times New Roman" w:hAnsi="Times New Roman" w:eastAsia="仿宋_GB2312" w:cs="仿宋_GB2312"/>
          <w:caps w:val="0"/>
          <w:sz w:val="32"/>
          <w:szCs w:val="32"/>
        </w:rPr>
      </w:pPr>
      <w:r>
        <w:rPr>
          <w:rFonts w:ascii="Times New Roman" w:hAnsi="Times New Roman"/>
          <w:caps w:val="0"/>
          <w:sz w:val="32"/>
          <w:szCs w:val="32"/>
        </w:rPr>
        <w:t>（2</w:t>
      </w:r>
      <w:r>
        <w:rPr>
          <w:rFonts w:hint="eastAsia" w:ascii="Times New Roman" w:hAnsi="Times New Roman" w:eastAsia="仿宋_GB2312" w:cs="仿宋_GB2312"/>
          <w:caps w:val="0"/>
          <w:sz w:val="32"/>
          <w:szCs w:val="32"/>
        </w:rPr>
        <w:t>）加强工业源污染整治，强化工业废水治理与监管</w:t>
      </w:r>
    </w:p>
    <w:p>
      <w:pPr>
        <w:widowControl w:val="0"/>
        <w:wordWrap/>
        <w:adjustRightInd w:val="0"/>
        <w:snapToGrid/>
        <w:spacing w:line="240" w:lineRule="auto"/>
        <w:ind w:firstLine="632" w:firstLineChars="200"/>
        <w:jc w:val="both"/>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继续强化工业污染整治。巩固“散乱污”清理成果，对已整治的“散乱污”企业进行回头看，实行动态管理，继续探索完善企业管控长效机制。</w:t>
      </w:r>
    </w:p>
    <w:p>
      <w:pPr>
        <w:widowControl w:val="0"/>
        <w:wordWrap/>
        <w:adjustRightInd w:val="0"/>
        <w:snapToGrid/>
        <w:spacing w:line="240" w:lineRule="auto"/>
        <w:ind w:firstLine="632" w:firstLineChars="200"/>
        <w:jc w:val="both"/>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强化工业废水监管与治理。完善和落实企业排污许可证制度和污染物总量控制制度，严格控制工业污染物排放。加强纺织、皮革和金属制造业等重点行业工业废水排放监管，提高重点污染源自动监测能力，鼓励工业企业入园，未能入园的企业废水应经处理后达标排放，保证工业废水全面达标排放。重点强化工业园区废水收集处理设施建设，加强工业企业和工业园区污水处理设施运行监管。</w:t>
      </w:r>
    </w:p>
    <w:p>
      <w:pPr>
        <w:widowControl w:val="0"/>
        <w:wordWrap/>
        <w:adjustRightInd w:val="0"/>
        <w:snapToGrid/>
        <w:spacing w:line="240" w:lineRule="auto"/>
        <w:ind w:firstLine="632" w:firstLineChars="200"/>
        <w:jc w:val="both"/>
        <w:textAlignment w:val="auto"/>
        <w:rPr>
          <w:rFonts w:hint="eastAsia" w:ascii="Times New Roman" w:hAnsi="Times New Roman" w:eastAsia="仿宋_GB2312" w:cs="仿宋_GB2312"/>
          <w:caps w:val="0"/>
          <w:sz w:val="32"/>
          <w:szCs w:val="32"/>
        </w:rPr>
      </w:pPr>
      <w:r>
        <w:rPr>
          <w:rFonts w:ascii="Times New Roman" w:hAnsi="Times New Roman"/>
          <w:caps w:val="0"/>
          <w:sz w:val="32"/>
          <w:szCs w:val="32"/>
        </w:rPr>
        <w:t>（3</w:t>
      </w:r>
      <w:r>
        <w:rPr>
          <w:rFonts w:hint="eastAsia" w:ascii="Times New Roman" w:hAnsi="Times New Roman" w:eastAsia="仿宋_GB2312" w:cs="仿宋_GB2312"/>
          <w:caps w:val="0"/>
          <w:sz w:val="32"/>
          <w:szCs w:val="32"/>
        </w:rPr>
        <w:t>）强化农业源污染控制，推进农业绿色发展</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hint="eastAsia" w:ascii="Times New Roman" w:hAnsi="Times New Roman" w:eastAsia="仿宋_GB2312" w:cs="仿宋_GB2312"/>
          <w:caps w:val="0"/>
          <w:sz w:val="32"/>
          <w:szCs w:val="32"/>
        </w:rPr>
        <w:t>加快推进畜禽养殖污染治理。推进畜禽养殖场污水收集处置设施建设，加大畜禽养殖废水排放监管力度，保证废水达标排放。推进畜禽养殖废弃物资源化利用，建立“畜</w:t>
      </w:r>
      <w:r>
        <w:rPr>
          <w:rFonts w:hint="eastAsia" w:ascii="Times New Roman" w:hAnsi="Times New Roman" w:cs="仿宋_GB2312"/>
          <w:caps w:val="0"/>
          <w:sz w:val="32"/>
          <w:szCs w:val="32"/>
          <w:lang w:eastAsia="zh-CN"/>
        </w:rPr>
        <w:t>—</w:t>
      </w:r>
      <w:r>
        <w:rPr>
          <w:rFonts w:hint="eastAsia" w:ascii="Times New Roman" w:hAnsi="Times New Roman" w:eastAsia="仿宋_GB2312" w:cs="仿宋_GB2312"/>
          <w:caps w:val="0"/>
          <w:sz w:val="32"/>
          <w:szCs w:val="32"/>
        </w:rPr>
        <w:t>沼</w:t>
      </w:r>
      <w:r>
        <w:rPr>
          <w:rFonts w:hint="eastAsia" w:ascii="Times New Roman" w:hAnsi="Times New Roman" w:cs="仿宋_GB2312"/>
          <w:caps w:val="0"/>
          <w:sz w:val="32"/>
          <w:szCs w:val="32"/>
          <w:lang w:eastAsia="zh-CN"/>
        </w:rPr>
        <w:t>—</w:t>
      </w:r>
      <w:r>
        <w:rPr>
          <w:rFonts w:hint="eastAsia" w:ascii="Times New Roman" w:hAnsi="Times New Roman" w:eastAsia="仿宋_GB2312" w:cs="仿宋_GB2312"/>
          <w:caps w:val="0"/>
          <w:sz w:val="32"/>
          <w:szCs w:val="32"/>
        </w:rPr>
        <w:t>种”三结合的循环经济模式，打造经济高效、循环利用的绿色养殖基地，推进养殖</w:t>
      </w:r>
      <w:r>
        <w:rPr>
          <w:rFonts w:ascii="Times New Roman" w:hAnsi="Times New Roman"/>
          <w:caps w:val="0"/>
          <w:sz w:val="32"/>
          <w:szCs w:val="32"/>
        </w:rPr>
        <w:t>场规模化、规范化、生态化发展。</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加强水产养殖污染防治。进一步优化养殖布局，推进水产养殖池塘升级改造，完善水产养殖基础设施，推进养殖用水循环利用，加强养殖水达标排放管理，推广应用节能减排、节地节水、循环利用等环境友好型养殖模式，发展水产健康养殖。</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推行绿色生产方式，持续推进农药化肥使用量零增长行动。科学指导农户用药和科学施肥，推广农业新技术，减少农药、化肥等使用。</w:t>
      </w:r>
    </w:p>
    <w:p>
      <w:pPr>
        <w:widowControl w:val="0"/>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80" w:name="_Toc88053830"/>
      <w:r>
        <w:rPr>
          <w:rFonts w:ascii="Times New Roman" w:hAnsi="Times New Roman"/>
          <w:b/>
          <w:caps w:val="0"/>
          <w:sz w:val="32"/>
          <w:szCs w:val="32"/>
        </w:rPr>
        <w:t>6.3.4</w:t>
      </w:r>
      <w:bookmarkStart w:id="81" w:name="_Hlk88053978"/>
      <w:r>
        <w:rPr>
          <w:rFonts w:hint="eastAsia" w:ascii="Times New Roman" w:hAnsi="Times New Roman"/>
          <w:b/>
          <w:caps w:val="0"/>
          <w:sz w:val="32"/>
          <w:szCs w:val="32"/>
        </w:rPr>
        <w:t>推进流域水环境综合整治</w:t>
      </w:r>
      <w:bookmarkEnd w:id="80"/>
      <w:bookmarkEnd w:id="81"/>
    </w:p>
    <w:p>
      <w:pPr>
        <w:widowControl w:val="0"/>
        <w:wordWrap/>
        <w:adjustRightInd w:val="0"/>
        <w:snapToGrid/>
        <w:spacing w:line="240" w:lineRule="auto"/>
        <w:ind w:firstLine="632" w:firstLineChars="200"/>
        <w:jc w:val="both"/>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继续推进入河排污口全面排查工作，对违法排污口开展分类整治。强化入河排污口监督管理工作，落实监管责任主体。重点加强流溪河、白坭河流域排污口整治，严禁新建排污口，严格监控影响河流水质的污染源；重点排查水质现状较差的天马河和新街河沿岸污染源，强化污染源监管，努力实现水质达标。完善污染源信息动态更新机制，全面厘清“污染源</w:t>
      </w:r>
      <w:r>
        <w:rPr>
          <w:rFonts w:hint="eastAsia" w:ascii="Times New Roman" w:hAnsi="Times New Roman" w:cs="仿宋_GB2312"/>
          <w:caps w:val="0"/>
          <w:sz w:val="32"/>
          <w:szCs w:val="32"/>
          <w:lang w:eastAsia="zh-CN"/>
        </w:rPr>
        <w:t>—</w:t>
      </w:r>
      <w:r>
        <w:rPr>
          <w:rFonts w:hint="eastAsia" w:ascii="Times New Roman" w:hAnsi="Times New Roman" w:eastAsia="仿宋_GB2312" w:cs="仿宋_GB2312"/>
          <w:caps w:val="0"/>
          <w:sz w:val="32"/>
          <w:szCs w:val="32"/>
        </w:rPr>
        <w:t>排污口</w:t>
      </w:r>
      <w:r>
        <w:rPr>
          <w:rFonts w:hint="eastAsia" w:ascii="Times New Roman" w:hAnsi="Times New Roman" w:cs="仿宋_GB2312"/>
          <w:caps w:val="0"/>
          <w:sz w:val="32"/>
          <w:szCs w:val="32"/>
          <w:lang w:eastAsia="zh-CN"/>
        </w:rPr>
        <w:t>—</w:t>
      </w:r>
      <w:r>
        <w:rPr>
          <w:rFonts w:hint="eastAsia" w:ascii="Times New Roman" w:hAnsi="Times New Roman" w:eastAsia="仿宋_GB2312" w:cs="仿宋_GB2312"/>
          <w:caps w:val="0"/>
          <w:sz w:val="32"/>
          <w:szCs w:val="32"/>
        </w:rPr>
        <w:t>河道”对应关系。</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hint="eastAsia" w:ascii="Times New Roman" w:hAnsi="Times New Roman" w:eastAsia="仿宋_GB2312" w:cs="仿宋_GB2312"/>
          <w:caps w:val="0"/>
          <w:sz w:val="32"/>
          <w:szCs w:val="32"/>
        </w:rPr>
        <w:t>以河湖长制为抓手，推进重点流域河涌整治工作。进一步有效推进管网隐患修复和错混接整改，强化合流渠箱综合整治，实施清污分流改造。巩固提升黑臭水体治理成效，严防黑臭水体反弹。重点推进白坭河、天马河、新街河等重要河流的综合整治工作，改善水体质量；采取生态补水等措施，提高水体容量，实现水体水质根本改善。到</w:t>
      </w:r>
      <w:r>
        <w:rPr>
          <w:rFonts w:ascii="Times New Roman" w:hAnsi="Times New Roman"/>
          <w:caps w:val="0"/>
          <w:sz w:val="32"/>
          <w:szCs w:val="32"/>
        </w:rPr>
        <w:t>2025年，全面消除</w:t>
      </w:r>
      <w:r>
        <w:rPr>
          <w:rFonts w:hint="eastAsia" w:ascii="Times New Roman" w:hAnsi="Times New Roman"/>
          <w:caps w:val="0"/>
          <w:sz w:val="32"/>
          <w:szCs w:val="32"/>
        </w:rPr>
        <w:t>重点考核断面周边一级支流劣Ⅴ类水体</w:t>
      </w:r>
      <w:r>
        <w:rPr>
          <w:rFonts w:ascii="Times New Roman" w:hAnsi="Times New Roman"/>
          <w:caps w:val="0"/>
          <w:sz w:val="32"/>
          <w:szCs w:val="32"/>
        </w:rPr>
        <w:t>。到2030年，城市水体基本消除劣Ⅴ类，大部分水体达到环境功能要求，水生态得到恢复。</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加强跨界河流联防联治工作。完善与佛山市南海区和三水区、清远市清城区联动治理机制，加强区域环境管理信息共享和跨境污染流动监控，开展异地交叉联合执法，提高环境保护工作综合协调和统一监管能力，加强与其他职能部门之间的联合执法，及时研究解决重点跨界河流河段的跨界污染问题。加强临时性跨区域调水补水，减少枯水期对断面水质的影响。</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加强优良水体保护。强化九湾潭水库、秀全水库、芙蓉嶂水库、伯公坳水库、福源水库等优良水体入库污染整治，对优良水体污染源进行全面的排查和整治，开展优良水体富营养化情况调查，推进秀全水库等湖库富营养化治理。</w:t>
      </w:r>
    </w:p>
    <w:p>
      <w:pPr>
        <w:widowControl w:val="0"/>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82" w:name="_Toc88053831"/>
      <w:r>
        <w:rPr>
          <w:rFonts w:ascii="Times New Roman" w:hAnsi="Times New Roman"/>
          <w:b/>
          <w:caps w:val="0"/>
          <w:sz w:val="32"/>
          <w:szCs w:val="32"/>
        </w:rPr>
        <w:t>6.3.5推进水生态保护与修复</w:t>
      </w:r>
      <w:bookmarkEnd w:id="82"/>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hint="eastAsia" w:ascii="Times New Roman" w:hAnsi="Times New Roman" w:eastAsia="仿宋_GB2312" w:cs="仿宋_GB2312"/>
          <w:caps w:val="0"/>
          <w:sz w:val="32"/>
          <w:szCs w:val="32"/>
        </w:rPr>
        <w:t>进一步完善湿地公园建设，加强生物多样性保护与修复。高质量推进碧道建设工作，打造“秀美河川、自然生活”的碧道，以碧道建设为抓手，推进水环境治理和水生态修复。到</w:t>
      </w:r>
      <w:r>
        <w:rPr>
          <w:rFonts w:ascii="Times New Roman" w:hAnsi="Times New Roman"/>
          <w:caps w:val="0"/>
          <w:sz w:val="32"/>
          <w:szCs w:val="32"/>
        </w:rPr>
        <w:t>2025年，全区建设完成碧道142km。</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建设流溪河花都段水鸟走廊，开展水鸟生境和岸边带生态修复。严格保护竹洲、下渡竹洲等江心洲、江心岛，修补洲岛自然岸线。恢复鱼类洄游通道，对流溪河李溪坝进行改造，增设鱼道，供鱼类洄游的途径，进一步丰富流溪河流域生物资源。开展岸边带生态修复。</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强化河流生态需水保障。监控主要断面生态流量，建立健全生态流量监测预警体系。对于生态需水量不足的河涌，可利用净水厂再生水为水系提供生态补水，有条件的地方通过跨区域和跨流域补给。</w:t>
      </w:r>
    </w:p>
    <w:p>
      <w:pPr>
        <w:widowControl w:val="0"/>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83" w:name="_Toc88053832"/>
      <w:r>
        <w:rPr>
          <w:rFonts w:ascii="Times New Roman" w:hAnsi="Times New Roman"/>
          <w:b/>
          <w:caps w:val="0"/>
          <w:sz w:val="32"/>
          <w:szCs w:val="32"/>
        </w:rPr>
        <w:t>6.3.6加强水资源保障</w:t>
      </w:r>
      <w:bookmarkEnd w:id="83"/>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强化推进节水工作。继续实施最严格水资源管理制度，强化工业节水、生活节水、农业节水，推进节水型社会建设。严格实施重点行业用水定额管理，按期淘汰高耗水落后工艺、设备，大力推广循环用水、串联用水和中水回用系统，提高工业用水重复利用率。全面实施计划用水管理，提高计量监控水平，降低供水管网漏失率，增强生活节水器具推广力度。加强节水制度建设，发挥第一批节水载体创建工作的引领示范作用，持续有序推进节水载体建设，带动全区各企业（单位）、社区加强节水管理和技术改造。</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积极推进污水处理厂再生水回用、高效节水灌溉项目，提高水资源利用效率。对于污水处理厂出水水质较好的，可用于厂区绿化、道路浇洒、污泥脱水机械冲洗、景观用水等，或用于厂外道路旁设置绿化用水取水栓，供应部分城市道路浇洒用水。</w:t>
      </w:r>
    </w:p>
    <w:p>
      <w:pPr>
        <w:widowControl w:val="0"/>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84" w:name="_Toc88053833"/>
      <w:r>
        <w:rPr>
          <w:rFonts w:ascii="Times New Roman" w:hAnsi="Times New Roman"/>
          <w:b/>
          <w:caps w:val="0"/>
          <w:sz w:val="32"/>
          <w:szCs w:val="32"/>
        </w:rPr>
        <w:t>6.3.7推进地下水污染防治</w:t>
      </w:r>
      <w:bookmarkEnd w:id="84"/>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协同土壤污染状况调查，推进地下水环境现状调查和评估。开展广花盆地地下水污染源调查，对可能影响地下水环境安全的化工、造纸、制药、生活污水垃圾、畜禽养殖等风险源进行排查。加强广花盆地地下水水质动态监测工作，制定落实地下水常规检测制度和方案，定期对地下水水质状况进行评价及预测预报，全面了解地下水环境质量状况。建立地下水风险评估机制，推进化工企业、加油站、垃圾填埋场和危险废物处置场所等区域周边地下水基础环境状况评估。</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以预防为主，逐步推进地下水污染防治。严格控制地下水的城镇污染，加快完善城镇污水管网收集系统，减少管网渗漏，加强城镇生活垃圾填埋场防渗、雨污分流设施的建设。加强重点工业地下水污染防治，强化对有色金属冶炼及压延加工业、石油加工、制革等行业生产经营活动的监管。控制农业面源对地下水污染，积极引导农民科学施肥，使用生物农药或高效、低毒、低残留农药，推广病虫草害综合防治、生物防治和精准施药等技术。</w:t>
      </w:r>
    </w:p>
    <w:p>
      <w:pPr>
        <w:pStyle w:val="4"/>
        <w:keepNext/>
        <w:keepLines/>
        <w:widowControl w:val="0"/>
        <w:wordWrap/>
        <w:adjustRightInd/>
        <w:snapToGrid/>
        <w:spacing w:beforeLines="50" w:afterLines="50" w:line="240" w:lineRule="auto"/>
        <w:ind w:firstLine="632" w:firstLineChars="200"/>
        <w:jc w:val="both"/>
        <w:textAlignment w:val="auto"/>
        <w:rPr>
          <w:rFonts w:ascii="Times New Roman" w:hAnsi="Times New Roman" w:eastAsia="宋体"/>
          <w:b w:val="0"/>
          <w:bCs w:val="0"/>
          <w:caps w:val="0"/>
          <w:sz w:val="32"/>
          <w:szCs w:val="32"/>
        </w:rPr>
      </w:pPr>
      <w:bookmarkStart w:id="85" w:name="_Toc88053834"/>
      <w:r>
        <w:rPr>
          <w:rFonts w:ascii="Times New Roman" w:hAnsi="Times New Roman" w:eastAsia="宋体"/>
          <w:b w:val="0"/>
          <w:bCs w:val="0"/>
          <w:caps w:val="0"/>
          <w:sz w:val="32"/>
          <w:szCs w:val="32"/>
        </w:rPr>
        <w:t>6.4</w:t>
      </w:r>
      <w:r>
        <w:rPr>
          <w:rFonts w:hint="eastAsia" w:ascii="Times New Roman" w:hAnsi="Times New Roman" w:eastAsia="楷体_GB2312" w:cs="楷体_GB2312"/>
          <w:b w:val="0"/>
          <w:bCs w:val="0"/>
          <w:caps w:val="0"/>
          <w:sz w:val="32"/>
          <w:szCs w:val="32"/>
        </w:rPr>
        <w:t>大气环境污染防治规划</w:t>
      </w:r>
      <w:bookmarkEnd w:id="85"/>
    </w:p>
    <w:p>
      <w:pPr>
        <w:widowControl w:val="0"/>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86" w:name="_Hlk58508479"/>
      <w:bookmarkStart w:id="87" w:name="_Toc88053835"/>
      <w:bookmarkStart w:id="88" w:name="_Toc69484612"/>
      <w:bookmarkStart w:id="89" w:name="_Toc184084596"/>
      <w:bookmarkStart w:id="90" w:name="_Toc344370616"/>
      <w:bookmarkStart w:id="91" w:name="_Toc344370739"/>
      <w:bookmarkStart w:id="92" w:name="_Toc344218813"/>
      <w:bookmarkStart w:id="93" w:name="_Toc184288558"/>
      <w:bookmarkStart w:id="94" w:name="_Toc361927549"/>
      <w:bookmarkStart w:id="95" w:name="_Toc344218689"/>
      <w:r>
        <w:rPr>
          <w:rFonts w:ascii="Times New Roman" w:hAnsi="Times New Roman"/>
          <w:b/>
          <w:caps w:val="0"/>
          <w:sz w:val="32"/>
          <w:szCs w:val="32"/>
        </w:rPr>
        <w:t>6.4.1强化移动源污染防</w:t>
      </w:r>
      <w:bookmarkEnd w:id="86"/>
      <w:r>
        <w:rPr>
          <w:rFonts w:ascii="Times New Roman" w:hAnsi="Times New Roman"/>
          <w:b/>
          <w:caps w:val="0"/>
          <w:sz w:val="32"/>
          <w:szCs w:val="32"/>
        </w:rPr>
        <w:t>治</w:t>
      </w:r>
      <w:bookmarkEnd w:id="87"/>
      <w:bookmarkEnd w:id="88"/>
    </w:p>
    <w:p>
      <w:pPr>
        <w:widowControl w:val="0"/>
        <w:wordWrap/>
        <w:adjustRightInd w:val="0"/>
        <w:snapToGrid/>
        <w:spacing w:line="240" w:lineRule="auto"/>
        <w:ind w:firstLine="632" w:firstLineChars="200"/>
        <w:jc w:val="both"/>
        <w:textAlignment w:val="auto"/>
        <w:rPr>
          <w:rFonts w:ascii="Times New Roman" w:hAnsi="Times New Roman"/>
          <w:caps w:val="0"/>
          <w:sz w:val="32"/>
          <w:szCs w:val="32"/>
          <w:highlight w:val="yellow"/>
        </w:rPr>
      </w:pPr>
      <w:r>
        <w:rPr>
          <w:rFonts w:ascii="Times New Roman" w:hAnsi="Times New Roman"/>
          <w:caps w:val="0"/>
          <w:sz w:val="32"/>
          <w:szCs w:val="32"/>
        </w:rPr>
        <w:t>加强车油路联合防控。加快低排放标准机动车更新淘汰，加大老旧柴油货车淘汰力度，争取到2030年，完成国Ⅲ及以下排放标准机动车淘汰工作。加快推广使用新能源汽车，推进全面完成公交车纯电动化，持续推进巡游出租车、泥头车电动化。同步推进充换电设施建设，推广氢燃料电池物流车和泥头车。加强机动车联合监管执法，强化营运柴油车尾气排放污染整治。持续加强成品油质量和油品储运销监管，加强部门联动，合力打击涉油品违法行为。优化城市路网设计，整治交通拥堵黑点，提高道路通行效率。完善公共交通系统和接驳换乘系统，</w:t>
      </w:r>
      <w:r>
        <w:rPr>
          <w:rFonts w:hint="eastAsia" w:ascii="Times New Roman" w:hAnsi="Times New Roman"/>
          <w:caps w:val="0"/>
          <w:sz w:val="32"/>
          <w:szCs w:val="32"/>
        </w:rPr>
        <w:t>提高公共交通出行分担率</w:t>
      </w:r>
      <w:r>
        <w:rPr>
          <w:rFonts w:ascii="Times New Roman" w:hAnsi="Times New Roman"/>
          <w:caps w:val="0"/>
          <w:sz w:val="32"/>
          <w:szCs w:val="32"/>
        </w:rPr>
        <w:t>。利用交通枢纽优势，大力发展空铁联运，提高货运物流效率。优化物流园区、批发市场路网，疏解区域货运物流压力。</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加强非道路移动机械排放管控。严格落实禁止使用高排放非道路移动机械的区域管控措施。加强在用机械管理，到2025年非道路移动机械编码登记覆盖率达100%。定期开展施工机械等非道路移动机械检查。加强非道路移动机械油品质量检测。加强对新生产销售非道路移动机械的监督检查。开展工程机械违法上路专项整治。</w:t>
      </w:r>
    </w:p>
    <w:p>
      <w:pPr>
        <w:widowControl w:val="0"/>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96" w:name="_Toc88053836"/>
      <w:r>
        <w:rPr>
          <w:rFonts w:ascii="Times New Roman" w:hAnsi="Times New Roman"/>
          <w:b/>
          <w:caps w:val="0"/>
          <w:sz w:val="32"/>
          <w:szCs w:val="32"/>
        </w:rPr>
        <w:t>6.4.2推动VOCs全过程精细化治理</w:t>
      </w:r>
      <w:bookmarkEnd w:id="96"/>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提高VOCs排放精细化管理水平。推进VOCs组分清单编制，推动VOCs组分监测，探索建立VOCs污染源地图。实施VOCs</w:t>
      </w:r>
      <w:r>
        <w:rPr>
          <w:rFonts w:hint="eastAsia" w:ascii="Times New Roman" w:hAnsi="Times New Roman" w:eastAsia="仿宋_GB2312" w:cs="仿宋_GB2312"/>
          <w:caps w:val="0"/>
          <w:sz w:val="32"/>
          <w:szCs w:val="32"/>
        </w:rPr>
        <w:t>排放企业分级管控，及时更新重点监管企业清单，不断深化重点企业“一企一方案”治理工作，推进企业依方案落实治理措施。研究制定汽车制造、橡胶、水泥制造等重点行业的</w:t>
      </w:r>
      <w:r>
        <w:rPr>
          <w:rFonts w:ascii="Times New Roman" w:hAnsi="Times New Roman"/>
          <w:caps w:val="0"/>
          <w:sz w:val="32"/>
          <w:szCs w:val="32"/>
        </w:rPr>
        <w:t>VOCs整治方案，推进按行业精细化治理。鼓励重点工业园区建设共性工厂，提高VOCs治理效率。</w:t>
      </w:r>
      <w:bookmarkStart w:id="97" w:name="_Hlk59377342"/>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推动生产全过程的VOCs排放控制</w:t>
      </w:r>
      <w:bookmarkEnd w:id="97"/>
      <w:r>
        <w:rPr>
          <w:rFonts w:ascii="Times New Roman" w:hAnsi="Times New Roman"/>
          <w:caps w:val="0"/>
          <w:sz w:val="32"/>
          <w:szCs w:val="32"/>
        </w:rPr>
        <w:t>。注重源头治理，推进低（无）VOCs含量原辅材料生产和替代。推动低温等离子、光催化、光氧化等治理工艺淘汰，并严格禁止新改扩建企业使用该类型治理工艺，到2030年基本完成上述治理工艺升级淘汰。继续加大泄漏检测与修复（LDAR）技术推广力度并深化管控工作。对VOCs重点排放企业的生产运行台账记录收集整理工作展开执法监管。全面加强VOCs无组织排放控制。加快建设重点监管企业VOCs自动监控系统，对其它有组织排放口实施定期监测。加强对VOCs排放异常点</w:t>
      </w:r>
      <w:r>
        <w:rPr>
          <w:rFonts w:hint="eastAsia"/>
          <w:caps w:val="0"/>
          <w:sz w:val="32"/>
          <w:szCs w:val="32"/>
          <w:lang w:eastAsia="zh-CN"/>
        </w:rPr>
        <w:t>的</w:t>
      </w:r>
      <w:r>
        <w:rPr>
          <w:rFonts w:ascii="Times New Roman" w:hAnsi="Times New Roman"/>
          <w:caps w:val="0"/>
          <w:sz w:val="32"/>
          <w:szCs w:val="32"/>
        </w:rPr>
        <w:t>走航排查监控。探索建设工业集中区VOCs监控网络。</w:t>
      </w:r>
      <w:bookmarkStart w:id="98" w:name="_Hlk59377372"/>
      <w:bookmarkEnd w:id="98"/>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加强储油库、加油站VOCs排放治理。巩固加油站油气回收治理成效，推进加油站三次油气回收改造。推进加油站安装自动监测系统，2025年前实现加油站自动监测全覆盖。加强针对加油站、储油库的VOCs走航监测。依法依规科学合理优化调整油库布局。</w:t>
      </w:r>
    </w:p>
    <w:p>
      <w:pPr>
        <w:widowControl w:val="0"/>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99" w:name="_Hlk62454358"/>
      <w:bookmarkStart w:id="100" w:name="_Toc69484613"/>
      <w:bookmarkStart w:id="101" w:name="_Toc88053837"/>
      <w:r>
        <w:rPr>
          <w:rFonts w:ascii="Times New Roman" w:hAnsi="Times New Roman"/>
          <w:b/>
          <w:caps w:val="0"/>
          <w:sz w:val="32"/>
          <w:szCs w:val="32"/>
        </w:rPr>
        <w:t>6.4.3深化重点工业源治理</w:t>
      </w:r>
      <w:bookmarkEnd w:id="99"/>
      <w:bookmarkEnd w:id="100"/>
      <w:bookmarkEnd w:id="101"/>
      <w:bookmarkStart w:id="102" w:name="_Hlk59377335"/>
      <w:bookmarkEnd w:id="102"/>
    </w:p>
    <w:p>
      <w:pPr>
        <w:widowControl w:val="0"/>
        <w:wordWrap/>
        <w:adjustRightInd w:val="0"/>
        <w:snapToGrid/>
        <w:spacing w:line="240" w:lineRule="auto"/>
        <w:ind w:firstLine="632" w:firstLineChars="200"/>
        <w:jc w:val="both"/>
        <w:textAlignment w:val="auto"/>
        <w:rPr>
          <w:rFonts w:ascii="Times New Roman" w:hAnsi="Times New Roman"/>
          <w:caps w:val="0"/>
          <w:sz w:val="32"/>
          <w:szCs w:val="32"/>
          <w:highlight w:val="yellow"/>
        </w:rPr>
      </w:pPr>
      <w:r>
        <w:rPr>
          <w:rFonts w:ascii="Times New Roman" w:hAnsi="Times New Roman"/>
          <w:caps w:val="0"/>
          <w:sz w:val="32"/>
          <w:szCs w:val="32"/>
        </w:rPr>
        <w:t>深化工业锅炉和炉窑排放治理。按照广州市的工业炉窑分级管控清单强化分级管控，全面推动工业炉窑的燃料清洁低碳化替代、废气治理设施升级改造、全过程无组织排放管控。推进重点废气排污单位自动监</w:t>
      </w:r>
      <w:r>
        <w:rPr>
          <w:rFonts w:hint="eastAsia" w:ascii="Times New Roman" w:hAnsi="Times New Roman"/>
          <w:caps w:val="0"/>
          <w:sz w:val="32"/>
          <w:szCs w:val="32"/>
        </w:rPr>
        <w:t>测</w:t>
      </w:r>
      <w:r>
        <w:rPr>
          <w:rFonts w:ascii="Times New Roman" w:hAnsi="Times New Roman"/>
          <w:caps w:val="0"/>
          <w:sz w:val="32"/>
          <w:szCs w:val="32"/>
        </w:rPr>
        <w:t>设施安装，到2025年基本完成重点废气排污单位自动监</w:t>
      </w:r>
      <w:r>
        <w:rPr>
          <w:rFonts w:hint="eastAsia" w:ascii="Times New Roman" w:hAnsi="Times New Roman"/>
          <w:caps w:val="0"/>
          <w:sz w:val="32"/>
          <w:szCs w:val="32"/>
        </w:rPr>
        <w:t>侧</w:t>
      </w:r>
      <w:r>
        <w:rPr>
          <w:rFonts w:ascii="Times New Roman" w:hAnsi="Times New Roman"/>
          <w:caps w:val="0"/>
          <w:sz w:val="32"/>
          <w:szCs w:val="32"/>
        </w:rPr>
        <w:t>设施安装。推动生物质锅炉更新为燃气锅炉或电锅炉，争取到2030年完成生物质锅炉淘汰。继续扩大集中供热范围，根据产业分布特征，扩大集中供热和集中供气规模，提高能源使用效率和废气治理效率，推进热电联产重点工程。推进天然气分布式能源站建设，进一步提高燃气消费占比。编制高能耗、高污染企业清单以及相关企业关停、搬迁或改造方案，研究越堡水泥厂异地搬迁可行性。</w:t>
      </w:r>
    </w:p>
    <w:p>
      <w:pPr>
        <w:widowControl w:val="0"/>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103" w:name="_Toc69484614"/>
      <w:bookmarkStart w:id="104" w:name="_Toc88053838"/>
      <w:r>
        <w:rPr>
          <w:rFonts w:ascii="Times New Roman" w:hAnsi="Times New Roman"/>
          <w:b/>
          <w:caps w:val="0"/>
          <w:sz w:val="32"/>
          <w:szCs w:val="32"/>
        </w:rPr>
        <w:t>6.4.4</w:t>
      </w:r>
      <w:bookmarkStart w:id="105" w:name="_Hlk58509454"/>
      <w:r>
        <w:rPr>
          <w:rFonts w:ascii="Times New Roman" w:hAnsi="Times New Roman"/>
          <w:b/>
          <w:caps w:val="0"/>
          <w:sz w:val="32"/>
          <w:szCs w:val="32"/>
        </w:rPr>
        <w:t>推进其它面源防控</w:t>
      </w:r>
      <w:bookmarkEnd w:id="103"/>
      <w:bookmarkEnd w:id="104"/>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hint="eastAsia" w:ascii="Times New Roman" w:hAnsi="Times New Roman" w:eastAsia="仿宋_GB2312" w:cs="仿宋_GB2312"/>
          <w:caps w:val="0"/>
          <w:sz w:val="32"/>
          <w:szCs w:val="32"/>
        </w:rPr>
        <w:t>持续做好扬尘治理工作。保持工地扬尘污染控制高压态势，运用视频实时监控、无人机飞行巡查、扬尘自动监测自动预警等先进技术，加强日常巡查检查，形成监管合力，加大扬尘污染控制力度，持续推动施工工地严格落实“六个</w:t>
      </w:r>
      <w:r>
        <w:rPr>
          <w:rFonts w:ascii="Times New Roman" w:hAnsi="Times New Roman"/>
          <w:caps w:val="0"/>
          <w:sz w:val="32"/>
          <w:szCs w:val="32"/>
        </w:rPr>
        <w:t>100%</w:t>
      </w:r>
      <w:r>
        <w:rPr>
          <w:rFonts w:hint="eastAsia" w:ascii="Times New Roman" w:hAnsi="Times New Roman" w:eastAsia="仿宋_GB2312" w:cs="仿宋_GB2312"/>
          <w:caps w:val="0"/>
          <w:sz w:val="32"/>
          <w:szCs w:val="32"/>
        </w:rPr>
        <w:t>”要求。推进规模以上施工工地视频监控和扬尘自动监测设备建设，到</w:t>
      </w:r>
      <w:r>
        <w:rPr>
          <w:rFonts w:ascii="Times New Roman" w:hAnsi="Times New Roman"/>
          <w:caps w:val="0"/>
          <w:sz w:val="32"/>
          <w:szCs w:val="32"/>
        </w:rPr>
        <w:t>2025年基本实现规模以上施工工地扬尘自动监测全覆盖。强化道路洒水保洁，实现渣土运输车辆全封闭运输，工业企业堆场实施规范化封闭管理</w:t>
      </w:r>
      <w:bookmarkEnd w:id="105"/>
      <w:r>
        <w:rPr>
          <w:rFonts w:ascii="Times New Roman" w:hAnsi="Times New Roman"/>
          <w:caps w:val="0"/>
          <w:sz w:val="32"/>
          <w:szCs w:val="32"/>
        </w:rPr>
        <w:t>。</w:t>
      </w:r>
      <w:bookmarkStart w:id="106" w:name="_Hlk59377437"/>
    </w:p>
    <w:p>
      <w:pPr>
        <w:widowControl w:val="0"/>
        <w:wordWrap/>
        <w:adjustRightInd w:val="0"/>
        <w:snapToGrid/>
        <w:spacing w:line="240" w:lineRule="auto"/>
        <w:ind w:firstLine="632" w:firstLineChars="200"/>
        <w:jc w:val="both"/>
        <w:textAlignment w:val="auto"/>
        <w:rPr>
          <w:rFonts w:ascii="Times New Roman" w:hAnsi="Times New Roman"/>
          <w:caps w:val="0"/>
          <w:sz w:val="32"/>
          <w:szCs w:val="32"/>
          <w:highlight w:val="yellow"/>
        </w:rPr>
      </w:pPr>
      <w:r>
        <w:rPr>
          <w:rFonts w:ascii="Times New Roman" w:hAnsi="Times New Roman"/>
          <w:caps w:val="0"/>
          <w:sz w:val="32"/>
          <w:szCs w:val="32"/>
        </w:rPr>
        <w:t>持续推进餐饮油烟高效治理</w:t>
      </w:r>
      <w:bookmarkEnd w:id="106"/>
      <w:r>
        <w:rPr>
          <w:rFonts w:ascii="Times New Roman" w:hAnsi="Times New Roman"/>
          <w:caps w:val="0"/>
          <w:sz w:val="32"/>
          <w:szCs w:val="32"/>
        </w:rPr>
        <w:t>。继续推广餐饮业户使用清洁能源，到2030年实现餐饮企业全部使用清洁能源。推进规模以上餐饮服务单位安装高效稳定餐饮油烟净化系统，到2030年规模以上餐饮服务单位安装率达到100%。倡导、鼓励各餐饮业户采用第三方治理模式，开展废气净化设备升级改造。加强对餐饮企业巡查执法。推进餐饮油烟自动监控，完善餐饮场所油烟监测信息平台。探索推动居民油烟治理工作。</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全面禁止露天焚烧。大力打击露天焚烧垃圾及其他废弃物等违法行为。强化行政村和村组禁烧联防联控责任，鼓励有条件地区使用无人机等科技手段进行监控。持续加大秸秆、落叶等禁烧力度。</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强化烟花爆竹监管。按照烟花爆竹禁限放管理规定，落实禁止销售、燃放烟花爆竹要求，重点做好节假日期间烟花爆竹禁限放工作。</w:t>
      </w:r>
    </w:p>
    <w:p>
      <w:pPr>
        <w:widowControl w:val="0"/>
        <w:wordWrap/>
        <w:adjustRightInd w:val="0"/>
        <w:snapToGrid/>
        <w:spacing w:line="240" w:lineRule="auto"/>
        <w:ind w:firstLine="632" w:firstLineChars="200"/>
        <w:jc w:val="both"/>
        <w:textAlignment w:val="auto"/>
        <w:outlineLvl w:val="2"/>
        <w:rPr>
          <w:rFonts w:hint="eastAsia" w:ascii="Times New Roman" w:hAnsi="Times New Roman" w:eastAsia="仿宋_GB2312" w:cs="仿宋_GB2312"/>
          <w:b/>
          <w:caps w:val="0"/>
          <w:sz w:val="32"/>
          <w:szCs w:val="32"/>
        </w:rPr>
      </w:pPr>
      <w:bookmarkStart w:id="107" w:name="_Toc88053839"/>
      <w:r>
        <w:rPr>
          <w:rFonts w:ascii="Times New Roman" w:hAnsi="Times New Roman"/>
          <w:b/>
          <w:caps w:val="0"/>
          <w:sz w:val="32"/>
          <w:szCs w:val="32"/>
        </w:rPr>
        <w:t>6.4.5</w:t>
      </w:r>
      <w:r>
        <w:rPr>
          <w:rFonts w:hint="eastAsia" w:ascii="Times New Roman" w:hAnsi="Times New Roman" w:eastAsia="仿宋_GB2312" w:cs="仿宋_GB2312"/>
          <w:b/>
          <w:caps w:val="0"/>
          <w:sz w:val="32"/>
          <w:szCs w:val="32"/>
        </w:rPr>
        <w:t>提升大气污染治理科学决策能力</w:t>
      </w:r>
      <w:bookmarkEnd w:id="107"/>
    </w:p>
    <w:p>
      <w:pPr>
        <w:widowControl w:val="0"/>
        <w:wordWrap/>
        <w:adjustRightInd w:val="0"/>
        <w:snapToGrid/>
        <w:spacing w:line="240" w:lineRule="auto"/>
        <w:ind w:firstLine="632" w:firstLineChars="200"/>
        <w:jc w:val="both"/>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科学制定氮氧化物、挥发性有机物协同减排动态调控方案，完善减排清单，加强分时分区分类精细化协同管控。研究开展新一轮环境空气功能区区划评估和修编工作。</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hint="eastAsia" w:ascii="Times New Roman" w:hAnsi="Times New Roman" w:eastAsia="仿宋_GB2312" w:cs="仿宋_GB2312"/>
          <w:caps w:val="0"/>
          <w:sz w:val="32"/>
          <w:szCs w:val="32"/>
        </w:rPr>
        <w:t>完善各种大气污染源排放自动监控。完善大气环境垂直监测点位布设，加强边界层垂直结构监测。探索推广“一镇街一空气质量监测站”的加密大气环境监测网络建设模式，争取</w:t>
      </w:r>
      <w:r>
        <w:rPr>
          <w:rFonts w:ascii="Times New Roman" w:hAnsi="Times New Roman"/>
          <w:caps w:val="0"/>
          <w:sz w:val="32"/>
          <w:szCs w:val="32"/>
        </w:rPr>
        <w:t>2025年前有条件的镇</w:t>
      </w:r>
      <w:r>
        <w:rPr>
          <w:rFonts w:hint="eastAsia"/>
          <w:caps w:val="0"/>
          <w:sz w:val="32"/>
          <w:szCs w:val="32"/>
          <w:lang w:eastAsia="zh-CN"/>
        </w:rPr>
        <w:t>（</w:t>
      </w:r>
      <w:r>
        <w:rPr>
          <w:rFonts w:ascii="Times New Roman" w:hAnsi="Times New Roman"/>
          <w:caps w:val="0"/>
          <w:sz w:val="32"/>
          <w:szCs w:val="32"/>
        </w:rPr>
        <w:t>街</w:t>
      </w:r>
      <w:r>
        <w:rPr>
          <w:rFonts w:hint="eastAsia"/>
          <w:caps w:val="0"/>
          <w:sz w:val="32"/>
          <w:szCs w:val="32"/>
          <w:lang w:eastAsia="zh-CN"/>
        </w:rPr>
        <w:t>）</w:t>
      </w:r>
      <w:r>
        <w:rPr>
          <w:rFonts w:ascii="Times New Roman" w:hAnsi="Times New Roman"/>
          <w:caps w:val="0"/>
          <w:sz w:val="32"/>
          <w:szCs w:val="32"/>
        </w:rPr>
        <w:t>完成一批空气质量监测点位的建设。</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继续做好环境空气质量预报预警工作，不断完善污染天气应对指引和重污染应急预案。探索对减排措施效果进行量化，制定差异化应急减排措施，对重点行业应急减排实施绩效分级管控。</w:t>
      </w:r>
    </w:p>
    <w:p>
      <w:pPr>
        <w:widowControl w:val="0"/>
        <w:wordWrap/>
        <w:adjustRightInd w:val="0"/>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完善大气环境联合执法监管机制，建立健全跨区域大气环境质量的监测、预警和决策响应系统，推动区域内大气环境状况信息共享机制，建立共享信息平台，互通区域内大气环境信息和重大项目审批、执法等信息。</w:t>
      </w:r>
    </w:p>
    <w:p>
      <w:pPr>
        <w:pStyle w:val="4"/>
        <w:keepNext/>
        <w:keepLines/>
        <w:widowControl w:val="0"/>
        <w:wordWrap/>
        <w:adjustRightInd/>
        <w:snapToGrid/>
        <w:spacing w:beforeLines="50" w:afterLines="50" w:line="240" w:lineRule="auto"/>
        <w:ind w:firstLine="632" w:firstLineChars="200"/>
        <w:jc w:val="both"/>
        <w:textAlignment w:val="auto"/>
        <w:rPr>
          <w:rFonts w:hint="eastAsia" w:ascii="Times New Roman" w:hAnsi="Times New Roman" w:eastAsia="楷体_GB2312" w:cs="楷体_GB2312"/>
          <w:b w:val="0"/>
          <w:bCs w:val="0"/>
          <w:caps w:val="0"/>
          <w:sz w:val="32"/>
          <w:szCs w:val="32"/>
        </w:rPr>
      </w:pPr>
      <w:bookmarkStart w:id="108" w:name="_Toc344218815"/>
      <w:bookmarkStart w:id="109" w:name="_Toc344218691"/>
      <w:bookmarkStart w:id="110" w:name="_Toc344370741"/>
      <w:bookmarkStart w:id="111" w:name="_Toc88053840"/>
      <w:bookmarkStart w:id="112" w:name="_Toc184084598"/>
      <w:bookmarkStart w:id="113" w:name="_Toc344370618"/>
      <w:bookmarkStart w:id="114" w:name="_Toc362448474"/>
      <w:bookmarkStart w:id="115" w:name="_Toc184288560"/>
      <w:r>
        <w:rPr>
          <w:rFonts w:ascii="Times New Roman" w:hAnsi="Times New Roman" w:eastAsia="宋体"/>
          <w:b w:val="0"/>
          <w:bCs w:val="0"/>
          <w:caps w:val="0"/>
          <w:sz w:val="32"/>
          <w:szCs w:val="32"/>
        </w:rPr>
        <w:t>6.5</w:t>
      </w:r>
      <w:r>
        <w:rPr>
          <w:rFonts w:hint="eastAsia" w:ascii="Times New Roman" w:hAnsi="Times New Roman" w:eastAsia="楷体_GB2312" w:cs="楷体_GB2312"/>
          <w:b w:val="0"/>
          <w:bCs w:val="0"/>
          <w:caps w:val="0"/>
          <w:sz w:val="32"/>
          <w:szCs w:val="32"/>
        </w:rPr>
        <w:t>生态保护与建设规划</w:t>
      </w:r>
      <w:bookmarkEnd w:id="108"/>
      <w:bookmarkEnd w:id="109"/>
      <w:bookmarkEnd w:id="110"/>
      <w:bookmarkEnd w:id="111"/>
      <w:bookmarkEnd w:id="112"/>
      <w:bookmarkEnd w:id="113"/>
      <w:bookmarkEnd w:id="114"/>
      <w:bookmarkEnd w:id="115"/>
    </w:p>
    <w:p>
      <w:pPr>
        <w:widowControl w:val="0"/>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116" w:name="_Toc88053841"/>
      <w:bookmarkStart w:id="117" w:name="_Toc362448475"/>
      <w:r>
        <w:rPr>
          <w:rFonts w:ascii="Times New Roman" w:hAnsi="Times New Roman"/>
          <w:b/>
          <w:caps w:val="0"/>
          <w:sz w:val="32"/>
          <w:szCs w:val="32"/>
        </w:rPr>
        <w:t>6.5.1构筑区域生态安全格局</w:t>
      </w:r>
      <w:bookmarkEnd w:id="116"/>
      <w:bookmarkEnd w:id="117"/>
    </w:p>
    <w:p>
      <w:pPr>
        <w:widowControl w:val="0"/>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b/>
          <w:bCs/>
          <w:caps w:val="0"/>
          <w:sz w:val="32"/>
          <w:szCs w:val="32"/>
        </w:rPr>
        <w:t>严守生态保护红线，维护区域生态安全格局。</w:t>
      </w:r>
      <w:r>
        <w:rPr>
          <w:rFonts w:ascii="Times New Roman" w:hAnsi="Times New Roman"/>
          <w:caps w:val="0"/>
          <w:sz w:val="32"/>
          <w:szCs w:val="32"/>
        </w:rPr>
        <w:t>坚持底线思维，建立健全生态保护红线管理制度。落实《广州市城市环境总体规划》与《花都区生态保护红线、环境质量底线、资源利用上线和</w:t>
      </w:r>
      <w:r>
        <w:rPr>
          <w:rFonts w:hint="eastAsia" w:ascii="Times New Roman" w:hAnsi="Times New Roman"/>
          <w:caps w:val="0"/>
          <w:sz w:val="32"/>
          <w:szCs w:val="32"/>
        </w:rPr>
        <w:t>生态</w:t>
      </w:r>
      <w:r>
        <w:rPr>
          <w:rFonts w:ascii="Times New Roman" w:hAnsi="Times New Roman"/>
          <w:caps w:val="0"/>
          <w:sz w:val="32"/>
          <w:szCs w:val="32"/>
        </w:rPr>
        <w:t>环境准入清单》的生态空间管控要求。生态保护红线内，自然保护地核心保护区原则上禁止人为活动，其他区域严格禁止开发性、生产性建设活动，在符合现行法律法规前提下，除国家重大战略项目外，仅允许对生态功能不造成破坏的有限人为活动。强化自然生态空间用途管制，合理划定城镇开发边界。严格执行生态保护红线和环境空间管控区的管制要求，明确生态保护重点区域。加强花都北部生态带的保护与建设。保障城市由北向南生态过渡区安全，保护和提升生态功能。</w:t>
      </w:r>
    </w:p>
    <w:p>
      <w:pPr>
        <w:widowControl w:val="0"/>
        <w:wordWrap/>
        <w:snapToGrid/>
        <w:spacing w:line="240" w:lineRule="auto"/>
        <w:ind w:firstLine="632" w:firstLineChars="200"/>
        <w:jc w:val="both"/>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b/>
          <w:bCs/>
          <w:caps w:val="0"/>
          <w:sz w:val="32"/>
          <w:szCs w:val="32"/>
        </w:rPr>
        <w:t>健全自然保护地体系</w:t>
      </w:r>
      <w:r>
        <w:rPr>
          <w:rFonts w:hint="eastAsia" w:ascii="Times New Roman" w:hAnsi="Times New Roman" w:eastAsia="仿宋_GB2312" w:cs="仿宋_GB2312"/>
          <w:caps w:val="0"/>
          <w:sz w:val="32"/>
          <w:szCs w:val="32"/>
        </w:rPr>
        <w:t>。推进自然保护区和自然公园整合优化，提升自然保护地生态服务功能。以实现重要自然生态空间系统性保护为重点，以提升优质生态产品供给能力为核心，完善自然保护地布局，整合交叉重叠保护地，连通分割破碎保护地，加快形成以国家公园为主体、自然保护区为基础、自然公园为补充的新型自然保护地体系。依托境内的各山脉、河流、湖泊、湿地、海域，整合优化自然保护地，整合优化后的自然保护地整体分布格局，与花都区的国土空间格局一致。</w:t>
      </w:r>
    </w:p>
    <w:p>
      <w:pPr>
        <w:widowControl w:val="0"/>
        <w:wordWrap/>
        <w:snapToGrid/>
        <w:spacing w:line="240" w:lineRule="auto"/>
        <w:ind w:firstLine="632" w:firstLineChars="200"/>
        <w:jc w:val="both"/>
        <w:textAlignment w:val="auto"/>
        <w:rPr>
          <w:rFonts w:ascii="Times New Roman" w:hAnsi="Times New Roman"/>
          <w:caps w:val="0"/>
          <w:sz w:val="32"/>
          <w:szCs w:val="32"/>
        </w:rPr>
      </w:pPr>
      <w:r>
        <w:rPr>
          <w:rFonts w:hint="eastAsia" w:ascii="Times New Roman" w:hAnsi="Times New Roman" w:eastAsia="仿宋_GB2312" w:cs="仿宋_GB2312"/>
          <w:b/>
          <w:bCs/>
          <w:caps w:val="0"/>
          <w:sz w:val="32"/>
          <w:szCs w:val="32"/>
        </w:rPr>
        <w:t>构筑生态空间网络，推进生态美丽花都建设。</w:t>
      </w:r>
      <w:r>
        <w:rPr>
          <w:rFonts w:hint="eastAsia" w:ascii="Times New Roman" w:hAnsi="Times New Roman" w:eastAsia="仿宋_GB2312" w:cs="仿宋_GB2312"/>
          <w:caps w:val="0"/>
          <w:sz w:val="32"/>
          <w:szCs w:val="32"/>
        </w:rPr>
        <w:t>优化“一湾、两核、四带、多点”的绿地布局结构。推进绿色生态水网建设，加强北部生态涵养带保护，推进王子山森林公园、九龙湖度假区等生态公园扩大覆盖面积。高质量推进碧道建设，提升景观林带、</w:t>
      </w:r>
      <w:r>
        <w:rPr>
          <w:rFonts w:ascii="Times New Roman" w:hAnsi="Times New Roman"/>
          <w:caps w:val="0"/>
          <w:sz w:val="32"/>
          <w:szCs w:val="32"/>
        </w:rPr>
        <w:t>森林碳汇造林和乡村绿化等。加快推进森林生态体系和森林公园体系建设，推进综合性公园、带状公园建设，完善城市绿道和社区绿道网络体系。</w:t>
      </w:r>
    </w:p>
    <w:p>
      <w:pPr>
        <w:widowControl w:val="0"/>
        <w:wordWrap/>
        <w:adjustRightInd/>
        <w:snapToGrid/>
        <w:spacing w:beforeLines="50" w:afterLines="50" w:line="240" w:lineRule="auto"/>
        <w:ind w:firstLine="0" w:firstLineChars="0"/>
        <w:jc w:val="center"/>
        <w:textAlignment w:val="auto"/>
        <w:rPr>
          <w:rFonts w:ascii="Times New Roman" w:hAnsi="Times New Roman" w:eastAsia="方正大标宋_GBK"/>
          <w:caps w:val="0"/>
          <w:kern w:val="0"/>
          <w:sz w:val="32"/>
          <w:szCs w:val="32"/>
        </w:rPr>
      </w:pPr>
      <w:bookmarkStart w:id="118" w:name="_Toc362448476"/>
      <w:r>
        <w:rPr>
          <w:rFonts w:hint="eastAsia" w:ascii="Times New Roman" w:hAnsi="Times New Roman" w:eastAsia="黑体" w:cs="黑体"/>
          <w:caps w:val="0"/>
          <w:kern w:val="0"/>
          <w:sz w:val="32"/>
          <w:szCs w:val="32"/>
        </w:rPr>
        <w:t>专栏 “一湾、两核、四带、多点”绿地布局结构</w:t>
      </w:r>
    </w:p>
    <w:tbl>
      <w:tblPr>
        <w:tblStyle w:val="20"/>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8" w:hRule="atLeast"/>
          <w:jc w:val="center"/>
        </w:trPr>
        <w:tc>
          <w:tcPr>
            <w:tcW w:w="9061" w:type="dxa"/>
            <w:vAlign w:val="top"/>
          </w:tcPr>
          <w:p>
            <w:pPr>
              <w:widowControl w:val="0"/>
              <w:wordWrap/>
              <w:adjustRightInd/>
              <w:snapToGrid w:val="0"/>
              <w:spacing w:beforeLines="25" w:line="360" w:lineRule="auto"/>
              <w:ind w:firstLine="552" w:firstLineChars="200"/>
              <w:textAlignment w:val="auto"/>
              <w:rPr>
                <w:rFonts w:ascii="Times New Roman" w:hAnsi="Times New Roman"/>
                <w:caps w:val="0"/>
                <w:kern w:val="0"/>
                <w:sz w:val="28"/>
                <w:szCs w:val="28"/>
              </w:rPr>
            </w:pPr>
            <w:r>
              <w:rPr>
                <w:rFonts w:ascii="Times New Roman" w:hAnsi="Times New Roman"/>
                <w:caps w:val="0"/>
                <w:kern w:val="0"/>
                <w:sz w:val="28"/>
                <w:szCs w:val="28"/>
              </w:rPr>
              <w:t>一湾：指花都北部山地和丘陵构成的半环形山丘生态功能区。</w:t>
            </w:r>
          </w:p>
          <w:p>
            <w:pPr>
              <w:snapToGrid w:val="0"/>
              <w:spacing w:line="360" w:lineRule="auto"/>
              <w:ind w:firstLine="552" w:firstLineChars="200"/>
              <w:rPr>
                <w:rFonts w:ascii="Times New Roman" w:hAnsi="Times New Roman"/>
                <w:caps w:val="0"/>
                <w:kern w:val="0"/>
                <w:sz w:val="28"/>
                <w:szCs w:val="28"/>
              </w:rPr>
            </w:pPr>
            <w:r>
              <w:rPr>
                <w:rFonts w:ascii="Times New Roman" w:hAnsi="Times New Roman"/>
                <w:caps w:val="0"/>
                <w:kern w:val="0"/>
                <w:sz w:val="28"/>
                <w:szCs w:val="28"/>
              </w:rPr>
              <w:t>两核：指丫髻岭森林自然公园和花都湖湿地自然公园构成的城区内两个生态绿核。</w:t>
            </w:r>
          </w:p>
          <w:p>
            <w:pPr>
              <w:snapToGrid w:val="0"/>
              <w:spacing w:line="360" w:lineRule="auto"/>
              <w:ind w:firstLine="552" w:firstLineChars="200"/>
              <w:rPr>
                <w:rFonts w:ascii="Times New Roman" w:hAnsi="Times New Roman"/>
                <w:caps w:val="0"/>
                <w:kern w:val="0"/>
                <w:sz w:val="28"/>
                <w:szCs w:val="28"/>
              </w:rPr>
            </w:pPr>
            <w:r>
              <w:rPr>
                <w:rFonts w:ascii="Times New Roman" w:hAnsi="Times New Roman"/>
                <w:caps w:val="0"/>
                <w:kern w:val="0"/>
                <w:sz w:val="28"/>
                <w:szCs w:val="28"/>
              </w:rPr>
              <w:t>四带：指巴江河滨水生态带、流溪河滨水生态带、广清高速生态隔离廊道和广乐高速生态隔离廊道四条生态带。</w:t>
            </w:r>
          </w:p>
          <w:p>
            <w:pPr>
              <w:snapToGrid w:val="0"/>
              <w:spacing w:line="360" w:lineRule="auto"/>
              <w:ind w:firstLine="552" w:firstLineChars="200"/>
              <w:rPr>
                <w:rFonts w:ascii="Times New Roman" w:hAnsi="Times New Roman"/>
                <w:caps w:val="0"/>
                <w:kern w:val="0"/>
                <w:sz w:val="32"/>
                <w:szCs w:val="32"/>
              </w:rPr>
            </w:pPr>
            <w:r>
              <w:rPr>
                <w:rFonts w:ascii="Times New Roman" w:hAnsi="Times New Roman"/>
                <w:caps w:val="0"/>
                <w:kern w:val="0"/>
                <w:sz w:val="28"/>
                <w:szCs w:val="28"/>
              </w:rPr>
              <w:t>多点：指花都区内的绿地和重要公园节点。</w:t>
            </w:r>
          </w:p>
        </w:tc>
      </w:tr>
    </w:tbl>
    <w:p>
      <w:pPr>
        <w:widowControl w:val="0"/>
        <w:wordWrap/>
        <w:adjustRightInd/>
        <w:snapToGrid/>
        <w:spacing w:line="240" w:lineRule="auto"/>
        <w:ind w:firstLine="632" w:firstLineChars="200"/>
        <w:textAlignment w:val="auto"/>
        <w:outlineLvl w:val="2"/>
        <w:rPr>
          <w:rFonts w:ascii="Times New Roman" w:hAnsi="Times New Roman"/>
          <w:b/>
          <w:caps w:val="0"/>
          <w:sz w:val="32"/>
          <w:szCs w:val="32"/>
        </w:rPr>
      </w:pPr>
      <w:bookmarkStart w:id="119" w:name="_Toc88053842"/>
    </w:p>
    <w:p>
      <w:pPr>
        <w:widowControl w:val="0"/>
        <w:wordWrap/>
        <w:adjustRightInd/>
        <w:snapToGrid/>
        <w:spacing w:line="240" w:lineRule="auto"/>
        <w:ind w:firstLine="632" w:firstLineChars="200"/>
        <w:textAlignment w:val="auto"/>
        <w:outlineLvl w:val="2"/>
        <w:rPr>
          <w:rFonts w:ascii="Times New Roman" w:hAnsi="Times New Roman"/>
          <w:b/>
          <w:caps w:val="0"/>
          <w:sz w:val="32"/>
          <w:szCs w:val="32"/>
        </w:rPr>
      </w:pPr>
      <w:r>
        <w:rPr>
          <w:rFonts w:ascii="Times New Roman" w:hAnsi="Times New Roman"/>
          <w:b/>
          <w:caps w:val="0"/>
          <w:sz w:val="32"/>
          <w:szCs w:val="32"/>
        </w:rPr>
        <w:t>6.5.2</w:t>
      </w:r>
      <w:bookmarkEnd w:id="118"/>
      <w:bookmarkStart w:id="120" w:name="_Toc362448477"/>
      <w:r>
        <w:rPr>
          <w:rFonts w:ascii="Times New Roman" w:hAnsi="Times New Roman"/>
          <w:b/>
          <w:caps w:val="0"/>
          <w:sz w:val="32"/>
          <w:szCs w:val="32"/>
        </w:rPr>
        <w:t>加强生态廊道打造</w:t>
      </w:r>
      <w:bookmarkEnd w:id="119"/>
    </w:p>
    <w:p>
      <w:pPr>
        <w:widowControl w:val="0"/>
        <w:wordWrap/>
        <w:adjustRightInd/>
        <w:snapToGrid/>
        <w:spacing w:line="240" w:lineRule="auto"/>
        <w:ind w:firstLine="632" w:firstLineChars="200"/>
        <w:textAlignment w:val="auto"/>
        <w:rPr>
          <w:rFonts w:ascii="Times New Roman" w:hAnsi="Times New Roman"/>
          <w:caps w:val="0"/>
          <w:sz w:val="32"/>
          <w:szCs w:val="32"/>
        </w:rPr>
      </w:pPr>
      <w:r>
        <w:rPr>
          <w:rFonts w:ascii="Times New Roman" w:hAnsi="Times New Roman"/>
          <w:b/>
          <w:bCs/>
          <w:caps w:val="0"/>
          <w:sz w:val="32"/>
          <w:szCs w:val="32"/>
        </w:rPr>
        <w:t>构建多层次、网络化的生态廊道</w:t>
      </w:r>
      <w:r>
        <w:rPr>
          <w:rFonts w:ascii="Times New Roman" w:hAnsi="Times New Roman"/>
          <w:caps w:val="0"/>
          <w:sz w:val="32"/>
          <w:szCs w:val="32"/>
        </w:rPr>
        <w:t>，加强山、水、林、田、湖生态保护、生态修复以及重要生态片区保护与建设。推进花都北部山林生态片区、西部农林生态片区两大生态片区的生态公益林、水源涵养、水土保持、污染治理、村庄搬迁安置等生态保育相关工作。加强水库、湖泊保护控制，建设水源涵养林，限制在水库周边进行城市建设开发，控制旅游度假设施的建设规模与开发强度，加强中洞岭等丘陵山体廊道与山前地带基本农田保护，构建生态保护与城市建设的缓冲地带。</w:t>
      </w:r>
    </w:p>
    <w:p>
      <w:pPr>
        <w:widowControl w:val="0"/>
        <w:wordWrap/>
        <w:adjustRightInd/>
        <w:snapToGrid/>
        <w:spacing w:line="240" w:lineRule="auto"/>
        <w:ind w:firstLine="632" w:firstLineChars="200"/>
        <w:textAlignment w:val="auto"/>
        <w:rPr>
          <w:rFonts w:ascii="Times New Roman" w:hAnsi="Times New Roman"/>
          <w:caps w:val="0"/>
          <w:sz w:val="32"/>
          <w:szCs w:val="32"/>
        </w:rPr>
      </w:pPr>
      <w:r>
        <w:rPr>
          <w:rFonts w:ascii="Times New Roman" w:hAnsi="Times New Roman"/>
          <w:b/>
          <w:bCs/>
          <w:caps w:val="0"/>
          <w:sz w:val="32"/>
          <w:szCs w:val="32"/>
        </w:rPr>
        <w:t>完善绿道体系建设</w:t>
      </w:r>
      <w:r>
        <w:rPr>
          <w:rFonts w:ascii="Times New Roman" w:hAnsi="Times New Roman"/>
          <w:caps w:val="0"/>
          <w:sz w:val="32"/>
          <w:szCs w:val="32"/>
        </w:rPr>
        <w:t>。加强绿道两侧城市生态基底的保护和控</w:t>
      </w:r>
      <w:r>
        <w:rPr>
          <w:rFonts w:hint="eastAsia" w:ascii="Times New Roman" w:hAnsi="Times New Roman" w:eastAsia="仿宋_GB2312" w:cs="仿宋_GB2312"/>
          <w:caps w:val="0"/>
          <w:sz w:val="32"/>
          <w:szCs w:val="32"/>
        </w:rPr>
        <w:t>制，充分挖掘花都“山水林田湖”等自然资源禀赋，规划形成生态型、山体型、滨水型、历史文化型、生活型等多类绿色生活空间。综合考虑资源本底要素和政策要素，结合全区绿道建设的实际情况，构筑花都绿道网总体布局，引领绿色生活。</w:t>
      </w:r>
    </w:p>
    <w:p>
      <w:pPr>
        <w:widowControl w:val="0"/>
        <w:wordWrap/>
        <w:adjustRightInd/>
        <w:snapToGrid/>
        <w:spacing w:line="240" w:lineRule="auto"/>
        <w:ind w:firstLine="632" w:firstLineChars="200"/>
        <w:textAlignment w:val="auto"/>
        <w:rPr>
          <w:rFonts w:ascii="Times New Roman" w:hAnsi="Times New Roman"/>
          <w:caps w:val="0"/>
          <w:sz w:val="32"/>
          <w:szCs w:val="32"/>
        </w:rPr>
      </w:pPr>
      <w:r>
        <w:rPr>
          <w:rFonts w:ascii="Times New Roman" w:hAnsi="Times New Roman"/>
          <w:b/>
          <w:bCs/>
          <w:caps w:val="0"/>
          <w:sz w:val="32"/>
          <w:szCs w:val="32"/>
        </w:rPr>
        <w:t>推进生态廊道综合治理。</w:t>
      </w:r>
      <w:r>
        <w:rPr>
          <w:rFonts w:ascii="Times New Roman" w:hAnsi="Times New Roman"/>
          <w:caps w:val="0"/>
          <w:sz w:val="32"/>
          <w:szCs w:val="32"/>
        </w:rPr>
        <w:t>优化整合破碎化的生态廊道，加强生态廊道内现状绿地与非建设用地的保护利用，推进规划绿地的提前预留与控制；加强生态廊道内综合整治，优先对生态廊道内的三旧地区实施更新改造与生态修复。针对现状违法建设用地，建议清退复绿；针对合法及已批未建用地，建议进行生态化改造；针对裸露地或受损用地，建议</w:t>
      </w:r>
      <w:r>
        <w:rPr>
          <w:rFonts w:hint="eastAsia"/>
          <w:caps w:val="0"/>
          <w:sz w:val="32"/>
          <w:szCs w:val="32"/>
          <w:lang w:eastAsia="zh-CN"/>
        </w:rPr>
        <w:t>采用</w:t>
      </w:r>
      <w:r>
        <w:rPr>
          <w:rFonts w:ascii="Times New Roman" w:hAnsi="Times New Roman"/>
          <w:caps w:val="0"/>
          <w:sz w:val="32"/>
          <w:szCs w:val="32"/>
        </w:rPr>
        <w:t>植被恢复、林相改造与边坡恢复等手段，提升景观品质。</w:t>
      </w:r>
      <w:bookmarkEnd w:id="120"/>
    </w:p>
    <w:p>
      <w:pPr>
        <w:widowControl w:val="0"/>
        <w:wordWrap/>
        <w:adjustRightInd/>
        <w:snapToGrid/>
        <w:spacing w:line="240" w:lineRule="auto"/>
        <w:ind w:firstLine="632" w:firstLineChars="200"/>
        <w:textAlignment w:val="auto"/>
        <w:outlineLvl w:val="2"/>
        <w:rPr>
          <w:rFonts w:ascii="Times New Roman" w:hAnsi="Times New Roman"/>
          <w:b/>
          <w:caps w:val="0"/>
          <w:sz w:val="32"/>
          <w:szCs w:val="32"/>
        </w:rPr>
      </w:pPr>
      <w:bookmarkStart w:id="121" w:name="_Toc362448478"/>
      <w:bookmarkStart w:id="122" w:name="_Toc88053843"/>
      <w:r>
        <w:rPr>
          <w:rFonts w:ascii="Times New Roman" w:hAnsi="Times New Roman"/>
          <w:b/>
          <w:caps w:val="0"/>
          <w:sz w:val="32"/>
          <w:szCs w:val="32"/>
        </w:rPr>
        <w:t>6.5.3</w:t>
      </w:r>
      <w:bookmarkEnd w:id="121"/>
      <w:r>
        <w:rPr>
          <w:rFonts w:ascii="Times New Roman" w:hAnsi="Times New Roman"/>
          <w:b/>
          <w:caps w:val="0"/>
          <w:sz w:val="32"/>
          <w:szCs w:val="32"/>
        </w:rPr>
        <w:t>推进生态系统保护与修复</w:t>
      </w:r>
      <w:bookmarkEnd w:id="122"/>
    </w:p>
    <w:p>
      <w:pPr>
        <w:widowControl w:val="0"/>
        <w:wordWrap/>
        <w:adjustRightInd/>
        <w:snapToGrid/>
        <w:spacing w:line="240" w:lineRule="auto"/>
        <w:ind w:firstLine="632" w:firstLineChars="200"/>
        <w:textAlignment w:val="auto"/>
        <w:rPr>
          <w:rFonts w:ascii="Times New Roman" w:hAnsi="Times New Roman"/>
          <w:caps w:val="0"/>
          <w:sz w:val="32"/>
          <w:szCs w:val="32"/>
        </w:rPr>
      </w:pPr>
      <w:r>
        <w:rPr>
          <w:rFonts w:ascii="Times New Roman" w:hAnsi="Times New Roman"/>
          <w:b/>
          <w:bCs/>
          <w:caps w:val="0"/>
          <w:sz w:val="32"/>
          <w:szCs w:val="32"/>
        </w:rPr>
        <w:t>加强生态公益林和生态保育林建设</w:t>
      </w:r>
      <w:r>
        <w:rPr>
          <w:rFonts w:ascii="Times New Roman" w:hAnsi="Times New Roman"/>
          <w:caps w:val="0"/>
          <w:sz w:val="32"/>
          <w:szCs w:val="32"/>
        </w:rPr>
        <w:t>。提升水源涵养林、水土保持林的生态功能，对生态公益林进行林分改造，在林分中间种植适宜的乡土树种，鼓励种植珍稀濒危树种。加快建设风水林和生物防火林带，逐步完成主干道和河道周边林分改造工作。通过植树造林、加强森林管理，保护和恢复森林植被</w:t>
      </w:r>
      <w:r>
        <w:rPr>
          <w:rFonts w:hint="eastAsia"/>
          <w:caps w:val="0"/>
          <w:sz w:val="32"/>
          <w:szCs w:val="32"/>
          <w:lang w:eastAsia="zh-CN"/>
        </w:rPr>
        <w:t>，不断提升</w:t>
      </w:r>
      <w:r>
        <w:rPr>
          <w:rFonts w:ascii="Times New Roman" w:hAnsi="Times New Roman"/>
          <w:caps w:val="0"/>
          <w:sz w:val="32"/>
          <w:szCs w:val="32"/>
        </w:rPr>
        <w:t>森林质量。在北部山地生态片区构筑多林种、多树种、多层次、多功能的稳定健康生态屏障。推进受损山体修复，通过生态复绿、景观再造等方式进行再利用。</w:t>
      </w:r>
    </w:p>
    <w:p>
      <w:pPr>
        <w:widowControl w:val="0"/>
        <w:wordWrap/>
        <w:adjustRightInd/>
        <w:snapToGrid/>
        <w:spacing w:line="240" w:lineRule="auto"/>
        <w:ind w:firstLine="632" w:firstLineChars="200"/>
        <w:textAlignment w:val="auto"/>
        <w:rPr>
          <w:rFonts w:ascii="Times New Roman" w:hAnsi="Times New Roman"/>
          <w:caps w:val="0"/>
          <w:sz w:val="32"/>
          <w:szCs w:val="32"/>
        </w:rPr>
      </w:pPr>
      <w:r>
        <w:rPr>
          <w:rFonts w:ascii="Times New Roman" w:hAnsi="Times New Roman"/>
          <w:b/>
          <w:bCs/>
          <w:caps w:val="0"/>
          <w:sz w:val="32"/>
          <w:szCs w:val="32"/>
        </w:rPr>
        <w:t>实施水源地环境综合整治</w:t>
      </w:r>
      <w:r>
        <w:rPr>
          <w:rFonts w:ascii="Times New Roman" w:hAnsi="Times New Roman"/>
          <w:caps w:val="0"/>
          <w:sz w:val="32"/>
          <w:szCs w:val="32"/>
        </w:rPr>
        <w:t>。</w:t>
      </w:r>
      <w:r>
        <w:rPr>
          <w:rFonts w:hint="eastAsia" w:ascii="Times New Roman" w:hAnsi="Times New Roman"/>
          <w:caps w:val="0"/>
          <w:sz w:val="32"/>
          <w:szCs w:val="32"/>
        </w:rPr>
        <w:t>加强重点水源涵养区的保护修复，严格限制各类开发建设活动，恢复森林和湿地等自然植被。加强饮用水水源保护区管理，禁止在饮用水水源一级保护区内新建、改建、扩建与供水设施和保护水源无关的建设项目，禁止在饮用水水源二级保护区内新建、改建、扩建排放污染物的建设项目。</w:t>
      </w:r>
      <w:r>
        <w:rPr>
          <w:rFonts w:ascii="Times New Roman" w:hAnsi="Times New Roman"/>
          <w:caps w:val="0"/>
          <w:sz w:val="32"/>
          <w:szCs w:val="32"/>
        </w:rPr>
        <w:t>对山地生态区稀疏退化的天然林，开展人工促进、天然更新等，加快森林正向演替，逐步使天然次生林、退化次生林等生态系统恢复到一定的功能水平，最终达到自我持续状态。强化天然林中幼林抚育，调整林木竞争关系，促进形成地带性顶级群落，鼓励在废弃矿山、荒山荒地上逐步恢复天然植被。</w:t>
      </w:r>
    </w:p>
    <w:p>
      <w:pPr>
        <w:widowControl w:val="0"/>
        <w:wordWrap/>
        <w:adjustRightInd/>
        <w:snapToGrid/>
        <w:spacing w:line="240" w:lineRule="auto"/>
        <w:ind w:firstLine="632" w:firstLineChars="200"/>
        <w:textAlignment w:val="auto"/>
        <w:rPr>
          <w:rFonts w:ascii="Times New Roman" w:hAnsi="Times New Roman"/>
          <w:caps w:val="0"/>
          <w:sz w:val="32"/>
          <w:szCs w:val="32"/>
        </w:rPr>
      </w:pPr>
      <w:r>
        <w:rPr>
          <w:rFonts w:ascii="Times New Roman" w:hAnsi="Times New Roman"/>
          <w:b/>
          <w:bCs/>
          <w:caps w:val="0"/>
          <w:sz w:val="32"/>
          <w:szCs w:val="32"/>
        </w:rPr>
        <w:t>推进花都湖国家湿地公园的升级改造</w:t>
      </w:r>
      <w:r>
        <w:rPr>
          <w:rFonts w:ascii="Times New Roman" w:hAnsi="Times New Roman"/>
          <w:caps w:val="0"/>
          <w:sz w:val="32"/>
          <w:szCs w:val="32"/>
        </w:rPr>
        <w:t>。推进湿地环境修复、植物群落提升和自然教育设施完善。科学采取各种措施治理</w:t>
      </w:r>
      <w:r>
        <w:rPr>
          <w:rFonts w:hint="eastAsia"/>
          <w:caps w:val="0"/>
          <w:sz w:val="32"/>
          <w:szCs w:val="32"/>
          <w:lang w:eastAsia="zh-CN"/>
        </w:rPr>
        <w:t>、</w:t>
      </w:r>
      <w:r>
        <w:rPr>
          <w:rFonts w:ascii="Times New Roman" w:hAnsi="Times New Roman"/>
          <w:caps w:val="0"/>
          <w:sz w:val="32"/>
          <w:szCs w:val="32"/>
        </w:rPr>
        <w:t>修复湿地生态环境，扩大其生态容纳量，保护恢复湿地生态系统与功能。提高物种栖息地生态环境质量，促进珍稀、濒危野生动植物资源的恢复与增长。优化湿地景观植物的种类、数量及空间配置。保护提升湿地水环境质量，营造美丽的湿地景观，推进水鸟</w:t>
      </w:r>
      <w:r>
        <w:rPr>
          <w:rFonts w:ascii="Times New Roman" w:hAnsi="Times New Roman"/>
          <w:caps w:val="0"/>
          <w:spacing w:val="-6"/>
          <w:sz w:val="32"/>
          <w:szCs w:val="32"/>
        </w:rPr>
        <w:t>保护宣教等湿地文化科普教育，打造以湿地游览为特色的旅游景点。</w:t>
      </w:r>
    </w:p>
    <w:p>
      <w:pPr>
        <w:widowControl w:val="0"/>
        <w:wordWrap/>
        <w:adjustRightInd/>
        <w:snapToGrid/>
        <w:spacing w:line="240" w:lineRule="auto"/>
        <w:ind w:firstLine="632" w:firstLineChars="200"/>
        <w:textAlignment w:val="auto"/>
        <w:rPr>
          <w:rFonts w:ascii="Times New Roman" w:hAnsi="Times New Roman"/>
          <w:caps w:val="0"/>
          <w:sz w:val="32"/>
          <w:szCs w:val="32"/>
        </w:rPr>
      </w:pPr>
      <w:r>
        <w:rPr>
          <w:rFonts w:ascii="Times New Roman" w:hAnsi="Times New Roman"/>
          <w:b/>
          <w:bCs/>
          <w:caps w:val="0"/>
          <w:sz w:val="32"/>
          <w:szCs w:val="32"/>
        </w:rPr>
        <w:t>加强城乡生态环境保护与建设</w:t>
      </w:r>
      <w:r>
        <w:rPr>
          <w:rFonts w:ascii="Times New Roman" w:hAnsi="Times New Roman"/>
          <w:caps w:val="0"/>
          <w:sz w:val="32"/>
          <w:szCs w:val="32"/>
        </w:rPr>
        <w:t>。推进城乡绿地生态系统建设，推进生态节点周边还绿于民工程。通过整治建筑环境，复绿拆违用地，推动围墙通透化建设。串联提质花都湖湿地公园等生态节点周边的城市公园与社区公园，形成环生态节点的公园绿链。</w:t>
      </w:r>
    </w:p>
    <w:p>
      <w:pPr>
        <w:widowControl w:val="0"/>
        <w:wordWrap/>
        <w:adjustRightInd/>
        <w:snapToGrid/>
        <w:spacing w:line="240" w:lineRule="auto"/>
        <w:ind w:firstLine="632" w:firstLineChars="200"/>
        <w:textAlignment w:val="auto"/>
        <w:outlineLvl w:val="2"/>
        <w:rPr>
          <w:rFonts w:ascii="Times New Roman" w:hAnsi="Times New Roman"/>
          <w:b/>
          <w:caps w:val="0"/>
          <w:sz w:val="32"/>
          <w:szCs w:val="32"/>
        </w:rPr>
      </w:pPr>
      <w:bookmarkStart w:id="123" w:name="_Toc88053844"/>
      <w:r>
        <w:rPr>
          <w:rFonts w:ascii="Times New Roman" w:hAnsi="Times New Roman"/>
          <w:b/>
          <w:caps w:val="0"/>
          <w:sz w:val="32"/>
          <w:szCs w:val="32"/>
        </w:rPr>
        <w:t>6.5.4促进生物多样性保护</w:t>
      </w:r>
      <w:bookmarkEnd w:id="123"/>
    </w:p>
    <w:p>
      <w:pPr>
        <w:widowControl w:val="0"/>
        <w:wordWrap/>
        <w:adjustRightInd/>
        <w:snapToGrid/>
        <w:spacing w:line="240" w:lineRule="auto"/>
        <w:ind w:firstLine="632" w:firstLineChars="200"/>
        <w:textAlignment w:val="auto"/>
        <w:rPr>
          <w:rFonts w:ascii="Times New Roman" w:hAnsi="Times New Roman"/>
          <w:caps w:val="0"/>
          <w:sz w:val="32"/>
          <w:szCs w:val="32"/>
        </w:rPr>
      </w:pPr>
      <w:r>
        <w:rPr>
          <w:rFonts w:ascii="Times New Roman" w:hAnsi="Times New Roman"/>
          <w:b/>
          <w:bCs/>
          <w:caps w:val="0"/>
          <w:sz w:val="32"/>
          <w:szCs w:val="32"/>
        </w:rPr>
        <w:t>夯实生物多样性保护基础。</w:t>
      </w:r>
      <w:r>
        <w:rPr>
          <w:rFonts w:ascii="Times New Roman" w:hAnsi="Times New Roman"/>
          <w:caps w:val="0"/>
          <w:sz w:val="32"/>
          <w:szCs w:val="32"/>
        </w:rPr>
        <w:t>开展生态环境本底综合调查评估、生物多样性调查评估和长期监测。开展生物多样性普查与保护工作。在森林资源调查的基础上，确定具有重要保护价值的森林生态系统类型，并对其实施保护。实施森林生态系统动态监测，维持森林资源的可持续利用。建立森林资源调查、动态监测平台和监测技术体系，定期监测森林生态系统面积、类型和分布状况及其动态变化，建立林木植物资源动态数据库，并定期更新数据。建立基于网络的森林资源利用信息平台，全面实现林木植物资源信息社会化共享，促进资源的保护与可持续利用。开展外来湿地入侵有害生物治理。</w:t>
      </w:r>
    </w:p>
    <w:p>
      <w:pPr>
        <w:keepLines/>
        <w:pageBreakBefore w:val="0"/>
        <w:widowControl w:val="0"/>
        <w:kinsoku/>
        <w:wordWrap/>
        <w:overflowPunct/>
        <w:topLinePunct w:val="0"/>
        <w:autoSpaceDE/>
        <w:autoSpaceDN/>
        <w:bidi w:val="0"/>
        <w:adjustRightInd/>
        <w:snapToGrid/>
        <w:spacing w:line="240" w:lineRule="auto"/>
        <w:ind w:firstLine="632" w:firstLineChars="200"/>
        <w:textAlignment w:val="auto"/>
        <w:rPr>
          <w:rFonts w:ascii="Times New Roman" w:hAnsi="Times New Roman"/>
          <w:caps w:val="0"/>
          <w:sz w:val="32"/>
          <w:szCs w:val="32"/>
        </w:rPr>
      </w:pPr>
      <w:r>
        <w:rPr>
          <w:rFonts w:ascii="Times New Roman" w:hAnsi="Times New Roman"/>
          <w:b/>
          <w:bCs/>
          <w:caps w:val="0"/>
          <w:sz w:val="32"/>
          <w:szCs w:val="32"/>
        </w:rPr>
        <w:t>加强生物安全管理。</w:t>
      </w:r>
      <w:r>
        <w:rPr>
          <w:rFonts w:ascii="Times New Roman" w:hAnsi="Times New Roman"/>
          <w:caps w:val="0"/>
          <w:sz w:val="32"/>
          <w:szCs w:val="32"/>
        </w:rPr>
        <w:t>实施外来物种管理，健全生物入侵风险管控制度，建立外来物种入侵监测预警及风险管理机制，完善生物物种资源出入境管理制度。加强生物技术的环境风险评价、检测、监测、预警和安全控制。</w:t>
      </w:r>
    </w:p>
    <w:p>
      <w:pPr>
        <w:keepLines/>
        <w:pageBreakBefore w:val="0"/>
        <w:widowControl w:val="0"/>
        <w:kinsoku/>
        <w:wordWrap/>
        <w:overflowPunct/>
        <w:topLinePunct w:val="0"/>
        <w:autoSpaceDE/>
        <w:autoSpaceDN/>
        <w:bidi w:val="0"/>
        <w:adjustRightInd/>
        <w:snapToGrid/>
        <w:spacing w:line="240" w:lineRule="auto"/>
        <w:ind w:firstLine="632" w:firstLineChars="200"/>
        <w:textAlignment w:val="auto"/>
        <w:outlineLvl w:val="2"/>
        <w:rPr>
          <w:rFonts w:hint="eastAsia" w:ascii="Times New Roman" w:hAnsi="Times New Roman" w:eastAsia="仿宋_GB2312" w:cs="仿宋_GB2312"/>
          <w:b/>
          <w:caps w:val="0"/>
          <w:sz w:val="32"/>
          <w:szCs w:val="32"/>
        </w:rPr>
      </w:pPr>
      <w:bookmarkStart w:id="124" w:name="_Toc88053845"/>
      <w:r>
        <w:rPr>
          <w:rFonts w:ascii="Times New Roman" w:hAnsi="Times New Roman"/>
          <w:b/>
          <w:caps w:val="0"/>
          <w:sz w:val="32"/>
          <w:szCs w:val="32"/>
        </w:rPr>
        <w:t>6.5.5</w:t>
      </w:r>
      <w:r>
        <w:rPr>
          <w:rFonts w:hint="eastAsia" w:ascii="Times New Roman" w:hAnsi="Times New Roman" w:eastAsia="仿宋_GB2312" w:cs="仿宋_GB2312"/>
          <w:b/>
          <w:caps w:val="0"/>
          <w:sz w:val="32"/>
          <w:szCs w:val="32"/>
        </w:rPr>
        <w:t>建立完善生态监管体系</w:t>
      </w:r>
      <w:bookmarkEnd w:id="124"/>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ascii="Times New Roman" w:hAnsi="Times New Roman"/>
          <w:b/>
          <w:bCs/>
          <w:caps w:val="0"/>
          <w:sz w:val="32"/>
          <w:szCs w:val="32"/>
        </w:rPr>
        <w:t>加强生态监管。</w:t>
      </w:r>
      <w:r>
        <w:rPr>
          <w:rFonts w:hint="eastAsia"/>
        </w:rPr>
        <w:t>完善生态质量与遥感监测网络，推进生态保护红线、自然保护地监测网络全覆盖，建设“天空地一体化”监测监管网络体系。加强自然保护地人类活动遥感监测和实地核查，持续开展“绿盾”等专项监督检查专项行动。健全自然保护地生态环境监管制度。强化生态环境保护综合执法与自然资源、水利、林业等相关部门协同执法。加快建立市级生态保护红线监管平台，建立生态保护红线常态化执法机制，定期开展执法督查。</w:t>
      </w:r>
      <w:bookmarkStart w:id="125" w:name="_Toc88053846"/>
    </w:p>
    <w:p>
      <w:pPr>
        <w:pStyle w:val="4"/>
        <w:keepNext/>
        <w:keepLines/>
        <w:widowControl w:val="0"/>
        <w:wordWrap/>
        <w:adjustRightInd/>
        <w:snapToGrid/>
        <w:spacing w:beforeLines="50" w:afterLines="50" w:line="240" w:lineRule="auto"/>
        <w:ind w:firstLine="632" w:firstLineChars="200"/>
        <w:jc w:val="both"/>
        <w:textAlignment w:val="auto"/>
        <w:rPr>
          <w:rFonts w:hint="eastAsia" w:ascii="Times New Roman" w:hAnsi="Times New Roman" w:eastAsia="楷体_GB2312" w:cs="楷体_GB2312"/>
          <w:b w:val="0"/>
          <w:bCs w:val="0"/>
          <w:caps w:val="0"/>
          <w:sz w:val="32"/>
          <w:szCs w:val="32"/>
        </w:rPr>
      </w:pPr>
      <w:r>
        <w:rPr>
          <w:rFonts w:hint="eastAsia" w:ascii="Times New Roman" w:hAnsi="Times New Roman" w:eastAsia="楷体_GB2312" w:cs="楷体_GB2312"/>
          <w:b w:val="0"/>
          <w:bCs w:val="0"/>
          <w:caps w:val="0"/>
          <w:sz w:val="32"/>
          <w:szCs w:val="32"/>
        </w:rPr>
        <w:t>6.6土壤环境质量保护规划</w:t>
      </w:r>
      <w:bookmarkEnd w:id="125"/>
    </w:p>
    <w:p>
      <w:pPr>
        <w:keepLines/>
        <w:pageBreakBefore w:val="0"/>
        <w:widowControl w:val="0"/>
        <w:kinsoku/>
        <w:wordWrap/>
        <w:overflowPunct/>
        <w:topLinePunct w:val="0"/>
        <w:autoSpaceDE/>
        <w:autoSpaceDN/>
        <w:bidi w:val="0"/>
        <w:adjustRightInd/>
        <w:snapToGrid/>
        <w:spacing w:line="240" w:lineRule="auto"/>
        <w:ind w:firstLine="632" w:firstLineChars="200"/>
        <w:textAlignment w:val="auto"/>
        <w:outlineLvl w:val="2"/>
        <w:rPr>
          <w:rFonts w:ascii="Times New Roman" w:hAnsi="Times New Roman"/>
          <w:b/>
          <w:caps w:val="0"/>
          <w:sz w:val="32"/>
          <w:szCs w:val="32"/>
        </w:rPr>
      </w:pPr>
      <w:bookmarkStart w:id="126" w:name="_Toc88053847"/>
      <w:r>
        <w:rPr>
          <w:rFonts w:ascii="Times New Roman" w:hAnsi="Times New Roman"/>
          <w:b/>
          <w:caps w:val="0"/>
          <w:sz w:val="32"/>
          <w:szCs w:val="32"/>
        </w:rPr>
        <w:t>6.6.1加强土壤污染防治源头管控</w:t>
      </w:r>
      <w:bookmarkEnd w:id="126"/>
    </w:p>
    <w:p>
      <w:pPr>
        <w:keepNext w:val="0"/>
        <w:keepLines w:val="0"/>
        <w:pageBreakBefore w:val="0"/>
        <w:widowControl w:val="0"/>
        <w:kinsoku/>
        <w:wordWrap/>
        <w:overflowPunct/>
        <w:topLinePunct w:val="0"/>
        <w:autoSpaceDE/>
        <w:autoSpaceDN/>
        <w:bidi w:val="0"/>
        <w:adjustRightInd/>
        <w:snapToGrid/>
        <w:ind w:firstLine="632" w:firstLineChars="200"/>
        <w:textAlignment w:val="auto"/>
      </w:pPr>
      <w:r>
        <w:t>合理空间布局管控。将土壤和地下水环境要求纳入国土空间规划，根据土壤污染状况和风险合理规划土地用途。加强规划项目布局论证，规划与自然资源部门在编制控制性详细规划等相关规划时，应充分考虑污染地块的环境风险和污染土壤风险管控措施的形式及范围，合理规划土地用途和建筑、设施等空间布局。严禁在优先保护类耕地集中区、敏感区周边新建、扩建排放重金属污染物和多环芳烃类等持久性有机污染物建设项目。根据区域功能定位、居民区等敏感对象的分布，结合土壤污染防治需要，科学布局生活垃圾处理、危险废物处理处置、废旧资源再生利用等设施和场所，确定合理的防护距离。</w:t>
      </w:r>
    </w:p>
    <w:p>
      <w:pPr>
        <w:widowControl w:val="0"/>
        <w:wordWrap/>
        <w:adjustRightInd/>
        <w:snapToGrid/>
        <w:spacing w:line="240" w:lineRule="auto"/>
        <w:ind w:firstLine="632" w:firstLineChars="200"/>
        <w:textAlignment w:val="auto"/>
        <w:rPr>
          <w:rFonts w:ascii="Times New Roman" w:hAnsi="Times New Roman"/>
          <w:caps w:val="0"/>
          <w:sz w:val="32"/>
          <w:szCs w:val="32"/>
        </w:rPr>
      </w:pPr>
      <w:r>
        <w:rPr>
          <w:rFonts w:ascii="Times New Roman" w:hAnsi="Times New Roman"/>
          <w:caps w:val="0"/>
          <w:sz w:val="32"/>
          <w:szCs w:val="32"/>
        </w:rPr>
        <w:t>加强污染源头控制。</w:t>
      </w:r>
      <w:r>
        <w:rPr>
          <w:rFonts w:hint="eastAsia" w:ascii="Times New Roman" w:hAnsi="Times New Roman"/>
          <w:caps w:val="0"/>
          <w:sz w:val="32"/>
          <w:szCs w:val="32"/>
        </w:rPr>
        <w:t>持续推进重金属污染综合防控，推进涉重金属重点行业企业重金属减排，</w:t>
      </w:r>
      <w:r>
        <w:rPr>
          <w:rFonts w:ascii="Times New Roman" w:hAnsi="Times New Roman"/>
          <w:caps w:val="0"/>
          <w:sz w:val="32"/>
          <w:szCs w:val="32"/>
        </w:rPr>
        <w:t>严格涉重金属行业污染物排放，深入推进涉镉等重金属重点行业企业全口径排查整治。强化重点监管单位监管，在排污许可证中载明土壤和地下水污染防治要求，指导企业规范防治措施落实。督促重点监管单位开展土壤和地下水环境自行监测、污染隐患排查。加强土壤污染重点监管单位周边土壤、地下水</w:t>
      </w:r>
      <w:r>
        <w:rPr>
          <w:rFonts w:hint="eastAsia"/>
          <w:caps w:val="0"/>
          <w:sz w:val="32"/>
          <w:szCs w:val="32"/>
          <w:lang w:eastAsia="zh-CN"/>
        </w:rPr>
        <w:t>的</w:t>
      </w:r>
      <w:r>
        <w:rPr>
          <w:rFonts w:ascii="Times New Roman" w:hAnsi="Times New Roman"/>
          <w:caps w:val="0"/>
          <w:sz w:val="32"/>
          <w:szCs w:val="32"/>
        </w:rPr>
        <w:t>监督性监测。持续推进工业固体废物堆存场所、生活垃圾填埋处置设施、城镇污水处理设施污泥堆场等整治。全面推进农业面源污染防治，加强农业投入品规范化管理，深入开展农药化肥减量增效。全面推进清洁生产及健康养殖，推动种养结合和粪污综合利用，加快推进水产养殖节水减排。统筹推进农膜秸秆回收利用。强化农业面源污染监管。</w:t>
      </w:r>
    </w:p>
    <w:p>
      <w:pPr>
        <w:widowControl w:val="0"/>
        <w:wordWrap/>
        <w:adjustRightInd/>
        <w:snapToGrid/>
        <w:spacing w:line="240" w:lineRule="auto"/>
        <w:ind w:firstLine="632" w:firstLineChars="200"/>
        <w:textAlignment w:val="auto"/>
        <w:outlineLvl w:val="2"/>
        <w:rPr>
          <w:rFonts w:ascii="Times New Roman" w:hAnsi="Times New Roman"/>
          <w:b/>
          <w:caps w:val="0"/>
          <w:sz w:val="32"/>
          <w:szCs w:val="32"/>
        </w:rPr>
      </w:pPr>
      <w:bookmarkStart w:id="127" w:name="_Toc88053848"/>
      <w:r>
        <w:rPr>
          <w:rFonts w:ascii="Times New Roman" w:hAnsi="Times New Roman"/>
          <w:b/>
          <w:caps w:val="0"/>
          <w:sz w:val="32"/>
          <w:szCs w:val="32"/>
        </w:rPr>
        <w:t>6.6.2实施农用地分类管理和建设用地风险管控</w:t>
      </w:r>
      <w:bookmarkEnd w:id="127"/>
    </w:p>
    <w:p>
      <w:pPr>
        <w:widowControl w:val="0"/>
        <w:wordWrap/>
        <w:adjustRightInd/>
        <w:snapToGrid/>
        <w:spacing w:line="240" w:lineRule="auto"/>
        <w:ind w:firstLine="632" w:firstLineChars="200"/>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严格实施农用地分类管理。严格保护优先保护类农用地，确保面积不减少</w:t>
      </w:r>
      <w:r>
        <w:rPr>
          <w:rFonts w:hint="eastAsia" w:ascii="Times New Roman" w:hAnsi="Times New Roman" w:cs="仿宋_GB2312"/>
          <w:caps w:val="0"/>
          <w:sz w:val="32"/>
          <w:szCs w:val="32"/>
          <w:lang w:eastAsia="zh-CN"/>
        </w:rPr>
        <w:t>、</w:t>
      </w:r>
      <w:r>
        <w:rPr>
          <w:rFonts w:hint="eastAsia" w:ascii="Times New Roman" w:hAnsi="Times New Roman" w:eastAsia="仿宋_GB2312" w:cs="仿宋_GB2312"/>
          <w:caps w:val="0"/>
          <w:sz w:val="32"/>
          <w:szCs w:val="32"/>
        </w:rPr>
        <w:t>土壤环境质量不下降。加大优先保护类农用地保护力度，加强重金属污染监测预警，推广施用有机肥、中碱性肥料、种植绿肥等管护措施。</w:t>
      </w:r>
      <w:r>
        <w:rPr>
          <w:rFonts w:hint="eastAsia" w:ascii="Times New Roman" w:hAnsi="Times New Roman" w:eastAsia="仿宋_GB2312" w:cs="仿宋_GB2312"/>
          <w:caps w:val="0"/>
          <w:sz w:val="32"/>
          <w:szCs w:val="32"/>
          <w:highlight w:val="none"/>
        </w:rPr>
        <w:t>以超筛选值耕地集中的地区为重点</w:t>
      </w:r>
      <w:r>
        <w:rPr>
          <w:rFonts w:hint="eastAsia" w:ascii="Times New Roman" w:hAnsi="Times New Roman" w:eastAsia="仿宋_GB2312" w:cs="仿宋_GB2312"/>
          <w:caps w:val="0"/>
          <w:sz w:val="32"/>
          <w:szCs w:val="32"/>
        </w:rPr>
        <w:t>，探索建立</w:t>
      </w:r>
      <w:r>
        <w:rPr>
          <w:rFonts w:hint="eastAsia" w:ascii="Times New Roman" w:hAnsi="Times New Roman" w:eastAsia="仿宋_GB2312" w:cs="仿宋_GB2312"/>
          <w:caps w:val="0"/>
          <w:sz w:val="32"/>
          <w:szCs w:val="32"/>
          <w:highlight w:val="none"/>
        </w:rPr>
        <w:t>超筛选值耕地农产品种植</w:t>
      </w:r>
      <w:r>
        <w:rPr>
          <w:rFonts w:hint="eastAsia" w:ascii="Times New Roman" w:hAnsi="Times New Roman" w:eastAsia="仿宋_GB2312" w:cs="仿宋_GB2312"/>
          <w:caps w:val="0"/>
          <w:sz w:val="32"/>
          <w:szCs w:val="32"/>
        </w:rPr>
        <w:t>正负面清单，对正负面清单实行差异化风险管控措施，降低农产品超标风险。针对严格管控类耕地，结合当地区域农产品产业优势，推进种植结构向重金属低累积或非食用农产品调整。</w:t>
      </w:r>
    </w:p>
    <w:p>
      <w:pPr>
        <w:widowControl w:val="0"/>
        <w:wordWrap/>
        <w:adjustRightInd/>
        <w:snapToGrid/>
        <w:spacing w:line="240" w:lineRule="auto"/>
        <w:ind w:firstLine="632" w:firstLineChars="200"/>
        <w:textAlignment w:val="auto"/>
        <w:rPr>
          <w:rFonts w:ascii="Times New Roman" w:hAnsi="Times New Roman"/>
          <w:caps w:val="0"/>
          <w:sz w:val="32"/>
          <w:szCs w:val="32"/>
        </w:rPr>
      </w:pPr>
      <w:r>
        <w:rPr>
          <w:rFonts w:hint="eastAsia" w:ascii="Times New Roman" w:hAnsi="Times New Roman" w:eastAsia="仿宋_GB2312" w:cs="仿宋_GB2312"/>
          <w:caps w:val="0"/>
          <w:sz w:val="32"/>
          <w:szCs w:val="32"/>
        </w:rPr>
        <w:t>强化建设用地土壤环境管理。加强关闭搬迁重点行业企业用地土壤污染风险分级与再开发利用管理。持续开展地块调查评估和风险评估。强化部门信息共享和联动监管，鼓励列入年度建设用地供应计划的地块提前开展土壤污染状况调查。充分发挥环境综合数据辅助监管的作用，及时将排污许可证注销、撤销类企业地块纳入监管视野。探索污染地块“环境修复</w:t>
      </w:r>
      <w:r>
        <w:rPr>
          <w:rFonts w:hint="default" w:ascii="Times New Roman" w:hAnsi="Times New Roman" w:eastAsia="仿宋_GB2312" w:cs="Times New Roman"/>
          <w:caps w:val="0"/>
          <w:sz w:val="32"/>
          <w:szCs w:val="32"/>
        </w:rPr>
        <w:t>+</w:t>
      </w:r>
      <w:r>
        <w:rPr>
          <w:rFonts w:hint="eastAsia" w:ascii="Times New Roman" w:hAnsi="Times New Roman" w:eastAsia="仿宋_GB2312" w:cs="仿宋_GB2312"/>
          <w:caps w:val="0"/>
          <w:sz w:val="32"/>
          <w:szCs w:val="32"/>
        </w:rPr>
        <w:t>开发建设”模式。合理确定土地开发和使用时序，涉及成片污染地块分期分批开发的，以及污染地块周边土地开发的，要优化开发时序，原则上住宅、公共管理与公共服务</w:t>
      </w:r>
      <w:r>
        <w:rPr>
          <w:rFonts w:hint="eastAsia" w:ascii="Times New Roman" w:hAnsi="Times New Roman" w:eastAsia="仿宋_GB2312" w:cs="仿宋_GB2312"/>
          <w:caps w:val="0"/>
          <w:sz w:val="32"/>
          <w:szCs w:val="32"/>
          <w:highlight w:val="none"/>
        </w:rPr>
        <w:t>等敏感类用地应后开发。</w:t>
      </w:r>
      <w:r>
        <w:rPr>
          <w:rFonts w:hint="eastAsia" w:ascii="Times New Roman" w:hAnsi="Times New Roman" w:eastAsia="仿宋_GB2312" w:cs="仿宋_GB2312"/>
          <w:caps w:val="0"/>
          <w:sz w:val="32"/>
          <w:szCs w:val="32"/>
        </w:rPr>
        <w:t>加强信息公开，强化土壤污染风险管控、修复项目施工过程信息公开。</w:t>
      </w:r>
    </w:p>
    <w:p>
      <w:pPr>
        <w:widowControl w:val="0"/>
        <w:wordWrap/>
        <w:adjustRightInd/>
        <w:snapToGrid/>
        <w:spacing w:line="240" w:lineRule="auto"/>
        <w:ind w:firstLine="632" w:firstLineChars="200"/>
        <w:textAlignment w:val="auto"/>
        <w:outlineLvl w:val="2"/>
        <w:rPr>
          <w:rFonts w:ascii="Times New Roman" w:hAnsi="Times New Roman"/>
          <w:b/>
          <w:caps w:val="0"/>
          <w:sz w:val="32"/>
          <w:szCs w:val="32"/>
        </w:rPr>
      </w:pPr>
      <w:bookmarkStart w:id="128" w:name="_Toc88053849"/>
      <w:r>
        <w:rPr>
          <w:rFonts w:ascii="Times New Roman" w:hAnsi="Times New Roman"/>
          <w:b/>
          <w:caps w:val="0"/>
          <w:sz w:val="32"/>
          <w:szCs w:val="32"/>
        </w:rPr>
        <w:t>6.6.3深入推进土壤污染治理与修复</w:t>
      </w:r>
      <w:bookmarkEnd w:id="128"/>
    </w:p>
    <w:p>
      <w:pPr>
        <w:widowControl w:val="0"/>
        <w:wordWrap/>
        <w:adjustRightInd/>
        <w:snapToGrid/>
        <w:spacing w:line="240" w:lineRule="auto"/>
        <w:ind w:firstLine="632" w:firstLineChars="200"/>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开展污染地块治理与修复。对接花都区“三旧”改造等城市更新政策要求，以拟开发建设为居住、商业、学校、医疗和养老机构等项目的污染地块为重点，严格落实土壤污染风险管控和修复。加强风险管控和修复活动监管，推广绿色修复，强化修复过程的二次污染防控。强化风险管控和修复活动后期管理。</w:t>
      </w:r>
    </w:p>
    <w:p>
      <w:pPr>
        <w:widowControl w:val="0"/>
        <w:wordWrap/>
        <w:adjustRightInd/>
        <w:snapToGrid/>
        <w:spacing w:line="240" w:lineRule="auto"/>
        <w:ind w:firstLine="632" w:firstLineChars="200"/>
        <w:textAlignment w:val="auto"/>
        <w:rPr>
          <w:rFonts w:ascii="Times New Roman" w:hAnsi="Times New Roman"/>
          <w:caps w:val="0"/>
          <w:sz w:val="32"/>
          <w:szCs w:val="32"/>
        </w:rPr>
      </w:pPr>
      <w:r>
        <w:rPr>
          <w:rFonts w:hint="eastAsia" w:ascii="Times New Roman" w:hAnsi="Times New Roman" w:eastAsia="仿宋_GB2312" w:cs="仿宋_GB2312"/>
          <w:caps w:val="0"/>
          <w:sz w:val="32"/>
          <w:szCs w:val="32"/>
        </w:rPr>
        <w:t>实施污染耕地治理与修复。根据耕地土壤污染程度、环境风险及其影响范围，确定治理与修复的重点区域，开展污染耕地治理与修复，探索建立易推广、成本低、效果好的技术模式。</w:t>
      </w:r>
    </w:p>
    <w:p>
      <w:pPr>
        <w:widowControl w:val="0"/>
        <w:wordWrap/>
        <w:adjustRightInd/>
        <w:snapToGrid/>
        <w:spacing w:line="240" w:lineRule="auto"/>
        <w:ind w:firstLine="632" w:firstLineChars="200"/>
        <w:textAlignment w:val="auto"/>
        <w:outlineLvl w:val="2"/>
        <w:rPr>
          <w:rFonts w:ascii="Times New Roman" w:hAnsi="Times New Roman"/>
          <w:b/>
          <w:caps w:val="0"/>
          <w:sz w:val="32"/>
          <w:szCs w:val="32"/>
        </w:rPr>
      </w:pPr>
      <w:bookmarkStart w:id="129" w:name="_Toc88053850"/>
      <w:r>
        <w:rPr>
          <w:rFonts w:ascii="Times New Roman" w:hAnsi="Times New Roman"/>
          <w:b/>
          <w:caps w:val="0"/>
          <w:sz w:val="32"/>
          <w:szCs w:val="32"/>
        </w:rPr>
        <w:t>6.6.4持续提升土壤环境监管能力</w:t>
      </w:r>
      <w:bookmarkEnd w:id="129"/>
    </w:p>
    <w:p>
      <w:pPr>
        <w:widowControl w:val="0"/>
        <w:wordWrap/>
        <w:adjustRightInd/>
        <w:snapToGrid/>
        <w:spacing w:before="0" w:line="240" w:lineRule="auto"/>
        <w:ind w:firstLine="632" w:firstLineChars="200"/>
        <w:jc w:val="left"/>
        <w:textAlignment w:val="auto"/>
        <w:rPr>
          <w:rFonts w:hint="eastAsia" w:ascii="Times New Roman" w:hAnsi="Times New Roman" w:eastAsia="宋体"/>
          <w:caps w:val="0"/>
          <w:sz w:val="32"/>
          <w:szCs w:val="32"/>
          <w:lang w:val="en-US" w:eastAsia="zh-CN"/>
        </w:rPr>
      </w:pPr>
      <w:r>
        <w:rPr>
          <w:rFonts w:hint="eastAsia" w:ascii="Times New Roman" w:hAnsi="Times New Roman" w:eastAsia="仿宋_GB2312" w:cs="仿宋_GB2312"/>
          <w:caps w:val="0"/>
          <w:sz w:val="32"/>
          <w:szCs w:val="32"/>
        </w:rPr>
        <w:t>立足花都区实际，完善土壤环境状况调查审核机制，加强污染地块从业单位质量管理，开展土壤污染防治宣传与舆情应对，完善土壤污染防治的监督管理体系。充分利用各部门土壤环境状况调查数据，整合农用地、重点行业在产企业用地、重点行业关闭搬迁企业地块等土壤环境质量调查结果，建立花都区土壤环境基础数据库。结合管理实际需要，动态优化完善土壤环境质量监测点位布设，规范背景点位、基础点位和风险点位监测，与普查有效衔接，形成土壤环境质量动态监测网络。依法将土壤污染修复事中监管等相关工作纳入日常执法内容，开展“双随机</w:t>
      </w:r>
      <w:r>
        <w:rPr>
          <w:rFonts w:hint="eastAsia" w:cs="仿宋_GB2312"/>
          <w:caps w:val="0"/>
          <w:sz w:val="32"/>
          <w:szCs w:val="32"/>
          <w:lang w:eastAsia="zh-CN"/>
        </w:rPr>
        <w:t>、</w:t>
      </w:r>
      <w:r>
        <w:rPr>
          <w:rFonts w:hint="eastAsia" w:ascii="Times New Roman" w:hAnsi="Times New Roman" w:eastAsia="仿宋_GB2312" w:cs="仿宋_GB2312"/>
          <w:caps w:val="0"/>
          <w:sz w:val="32"/>
          <w:szCs w:val="32"/>
        </w:rPr>
        <w:t>一公开”执法检查。鼓励利用卫星遥感、无人机、视频监控等手段开展非现场检查，防止污染地块未开展或未完成土壤污染风险管控和修复</w:t>
      </w:r>
      <w:r>
        <w:rPr>
          <w:rFonts w:hint="eastAsia" w:ascii="Times New Roman" w:hAnsi="Times New Roman" w:cs="仿宋_GB2312"/>
          <w:caps w:val="0"/>
          <w:sz w:val="32"/>
          <w:szCs w:val="32"/>
          <w:lang w:eastAsia="zh-CN"/>
        </w:rPr>
        <w:t>就</w:t>
      </w:r>
      <w:r>
        <w:rPr>
          <w:rFonts w:hint="eastAsia" w:ascii="Times New Roman" w:hAnsi="Times New Roman" w:eastAsia="仿宋_GB2312" w:cs="仿宋_GB2312"/>
          <w:caps w:val="0"/>
          <w:sz w:val="32"/>
          <w:szCs w:val="32"/>
        </w:rPr>
        <w:t>投入开发建设。</w:t>
      </w:r>
      <w:bookmarkStart w:id="130" w:name="_Toc362448466"/>
      <w:bookmarkStart w:id="131" w:name="_Toc88053851"/>
    </w:p>
    <w:p>
      <w:pPr>
        <w:keepNext w:val="0"/>
        <w:keepLines w:val="0"/>
        <w:pageBreakBefore w:val="0"/>
        <w:widowControl w:val="0"/>
        <w:kinsoku/>
        <w:wordWrap/>
        <w:overflowPunct/>
        <w:topLinePunct w:val="0"/>
        <w:autoSpaceDE/>
        <w:autoSpaceDN/>
        <w:bidi w:val="0"/>
        <w:adjustRightInd/>
        <w:snapToGrid/>
        <w:spacing w:before="292" w:beforeLines="50" w:afterLines="50" w:line="240" w:lineRule="auto"/>
        <w:ind w:firstLine="632" w:firstLineChars="200"/>
        <w:jc w:val="both"/>
        <w:textAlignment w:val="auto"/>
        <w:rPr>
          <w:rFonts w:ascii="Times New Roman" w:hAnsi="Times New Roman"/>
          <w:caps w:val="0"/>
          <w:sz w:val="32"/>
          <w:szCs w:val="32"/>
        </w:rPr>
      </w:pPr>
      <w:r>
        <w:rPr>
          <w:rFonts w:ascii="Times New Roman" w:hAnsi="Times New Roman" w:eastAsia="宋体"/>
          <w:caps w:val="0"/>
          <w:sz w:val="32"/>
          <w:szCs w:val="32"/>
        </w:rPr>
        <w:t>6.7</w:t>
      </w:r>
      <w:r>
        <w:rPr>
          <w:rFonts w:hint="eastAsia" w:ascii="Times New Roman" w:hAnsi="Times New Roman" w:eastAsia="楷体_GB2312" w:cs="楷体_GB2312"/>
          <w:caps w:val="0"/>
          <w:sz w:val="32"/>
          <w:szCs w:val="32"/>
        </w:rPr>
        <w:t>固体废物处理处置规划</w:t>
      </w:r>
      <w:bookmarkEnd w:id="130"/>
      <w:bookmarkEnd w:id="131"/>
    </w:p>
    <w:p>
      <w:pPr>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132" w:name="_Toc88053852"/>
      <w:r>
        <w:rPr>
          <w:rFonts w:ascii="Times New Roman" w:hAnsi="Times New Roman"/>
          <w:b/>
          <w:caps w:val="0"/>
          <w:sz w:val="32"/>
          <w:szCs w:val="32"/>
        </w:rPr>
        <w:t>6.7.1推动固体废物源头减量化</w:t>
      </w:r>
      <w:bookmarkEnd w:id="132"/>
    </w:p>
    <w:p>
      <w:pPr>
        <w:wordWrap/>
        <w:adjustRightInd w:val="0"/>
        <w:snapToGrid/>
        <w:spacing w:line="240" w:lineRule="auto"/>
        <w:ind w:firstLine="632" w:firstLineChars="200"/>
        <w:jc w:val="both"/>
        <w:textAlignment w:val="auto"/>
        <w:rPr>
          <w:rFonts w:ascii="Times New Roman" w:hAnsi="Times New Roman"/>
          <w:bCs/>
          <w:caps w:val="0"/>
          <w:sz w:val="32"/>
          <w:szCs w:val="32"/>
        </w:rPr>
      </w:pPr>
      <w:r>
        <w:rPr>
          <w:rFonts w:hint="eastAsia"/>
          <w:bCs/>
          <w:caps w:val="0"/>
          <w:sz w:val="32"/>
          <w:szCs w:val="32"/>
          <w:lang w:eastAsia="zh-CN"/>
        </w:rPr>
        <w:t>（</w:t>
      </w:r>
      <w:r>
        <w:rPr>
          <w:rFonts w:hint="eastAsia"/>
          <w:bCs/>
          <w:caps w:val="0"/>
          <w:sz w:val="32"/>
          <w:szCs w:val="32"/>
          <w:lang w:val="en-US" w:eastAsia="zh-CN"/>
        </w:rPr>
        <w:t>1</w:t>
      </w:r>
      <w:r>
        <w:rPr>
          <w:rFonts w:hint="eastAsia"/>
          <w:bCs/>
          <w:caps w:val="0"/>
          <w:sz w:val="32"/>
          <w:szCs w:val="32"/>
          <w:lang w:eastAsia="zh-CN"/>
        </w:rPr>
        <w:t>）</w:t>
      </w:r>
      <w:r>
        <w:rPr>
          <w:rFonts w:hint="eastAsia" w:ascii="Times New Roman" w:hAnsi="Times New Roman" w:eastAsia="仿宋_GB2312" w:cs="仿宋_GB2312"/>
          <w:bCs/>
          <w:caps w:val="0"/>
          <w:sz w:val="32"/>
          <w:szCs w:val="32"/>
        </w:rPr>
        <w:t>推进工业物体废物源头减量。大力鼓励企业推进清洁生产进程，积极推广先进生产工艺、技术、设备和材料，从源头减少危险废物的产生量、体积、毒性等，减缓后续处理的压力。着力提高汽车制造业、电子产品制造等传统产业的工业固废综合利用率，构建绿色循环生产模式。加强产业链循环式组合，开展循环化工业园区改造、“无废园区”建设试点。</w:t>
      </w:r>
    </w:p>
    <w:p>
      <w:pPr>
        <w:wordWrap/>
        <w:adjustRightInd w:val="0"/>
        <w:snapToGrid/>
        <w:spacing w:line="240" w:lineRule="auto"/>
        <w:ind w:firstLine="632" w:firstLineChars="200"/>
        <w:jc w:val="both"/>
        <w:textAlignment w:val="auto"/>
        <w:rPr>
          <w:rFonts w:ascii="Times New Roman" w:hAnsi="Times New Roman"/>
          <w:bCs/>
          <w:caps w:val="0"/>
          <w:sz w:val="32"/>
          <w:szCs w:val="32"/>
        </w:rPr>
      </w:pPr>
      <w:r>
        <w:rPr>
          <w:rFonts w:hint="eastAsia"/>
          <w:bCs/>
          <w:caps w:val="0"/>
          <w:sz w:val="32"/>
          <w:szCs w:val="32"/>
          <w:lang w:eastAsia="zh-CN"/>
        </w:rPr>
        <w:t>（</w:t>
      </w:r>
      <w:r>
        <w:rPr>
          <w:rFonts w:ascii="Times New Roman" w:hAnsi="Times New Roman"/>
          <w:bCs/>
          <w:caps w:val="0"/>
          <w:sz w:val="32"/>
          <w:szCs w:val="32"/>
        </w:rPr>
        <w:t>2</w:t>
      </w:r>
      <w:r>
        <w:rPr>
          <w:rFonts w:hint="eastAsia"/>
          <w:bCs/>
          <w:caps w:val="0"/>
          <w:sz w:val="32"/>
          <w:szCs w:val="32"/>
          <w:lang w:eastAsia="zh-CN"/>
        </w:rPr>
        <w:t>）</w:t>
      </w:r>
      <w:r>
        <w:rPr>
          <w:rFonts w:ascii="Times New Roman" w:hAnsi="Times New Roman"/>
          <w:bCs/>
          <w:caps w:val="0"/>
          <w:sz w:val="32"/>
          <w:szCs w:val="32"/>
        </w:rPr>
        <w:t>推进生活垃圾源头减量。全链条提升垃圾分类投放、收集、运输、处理体系，推动垃圾分类投放点智能化、便利化、清洁化设置。加强白色污染治理，有序限制、禁止生产、销售和使用一次性不可降解塑料制品，整治塑料污染突出领域和电商、快递、外卖等新兴领域污染行为。以绿色生活方式为引领，提倡净菜进城以及通过简化包装等减少一次性物品的使用，促进生活垃圾减量。</w:t>
      </w:r>
    </w:p>
    <w:p>
      <w:pPr>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133" w:name="_Toc88053853"/>
      <w:r>
        <w:rPr>
          <w:rFonts w:ascii="Times New Roman" w:hAnsi="Times New Roman"/>
          <w:b/>
          <w:caps w:val="0"/>
          <w:sz w:val="32"/>
          <w:szCs w:val="32"/>
        </w:rPr>
        <w:t>6.7.2持续提升固体废物资源化利用水平</w:t>
      </w:r>
      <w:bookmarkEnd w:id="133"/>
    </w:p>
    <w:p>
      <w:pPr>
        <w:wordWrap/>
        <w:adjustRightInd w:val="0"/>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Cs/>
          <w:caps w:val="0"/>
          <w:sz w:val="32"/>
          <w:szCs w:val="32"/>
        </w:rPr>
        <w:t>（1）深化工业固体废物资源化利用。推动大宗工业固体废物资源化利用。以汽车制造业等行业的大宗工业固体废物为重点，提升综合利用率。推广先进适用技术装备，推动大宗工业固体废物综合利用产业规模化、高值化、集约化发展。加强工业固体废物协同处置，充分利用水泥制造业等工业窑炉协同处置污泥等工</w:t>
      </w:r>
      <w:r>
        <w:rPr>
          <w:rFonts w:hint="eastAsia" w:ascii="Times New Roman" w:hAnsi="Times New Roman" w:eastAsia="仿宋_GB2312" w:cs="仿宋_GB2312"/>
          <w:bCs/>
          <w:caps w:val="0"/>
          <w:sz w:val="32"/>
          <w:szCs w:val="32"/>
        </w:rPr>
        <w:t>业固体废物。拓展市政污泥、河道淤泥资源化利用渠道。鼓励开展废活性炭、废酸、含镍废物、含铜废物等类别危险废物的资源化利用，补齐利用能力缺口。在环境风险可控前提下，探索开展废酸、废树脂粉、废盐、皮革类废物等危险废物“点对点”定向利用的危险废物经营许可豁免管理试点。</w:t>
      </w:r>
    </w:p>
    <w:p>
      <w:pPr>
        <w:wordWrap/>
        <w:adjustRightInd w:val="0"/>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Cs/>
          <w:caps w:val="0"/>
          <w:sz w:val="32"/>
          <w:szCs w:val="32"/>
        </w:rPr>
        <w:t>（2）加强生活垃圾资源化利用。建设完善可回收物分类收运处理系统。推进再生资源回收网点（含再生资源回收点、中转站、分拣中心）建设，提高再生资源回收率。完善区内循环经济产业园区建设，推广可回收物利用、焚烧发电、生物处理等资源化利用方式。</w:t>
      </w:r>
    </w:p>
    <w:p>
      <w:pPr>
        <w:wordWrap/>
        <w:adjustRightInd w:val="0"/>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Cs/>
          <w:caps w:val="0"/>
          <w:sz w:val="32"/>
          <w:szCs w:val="32"/>
        </w:rPr>
        <w:t>（3）建设综合利用设施，积极提高建筑垃圾资源化水平。推进狮岭镇、花山镇建筑垃圾综合利用厂建设，逐步实现建筑垃圾资源化利用。</w:t>
      </w:r>
    </w:p>
    <w:p>
      <w:pPr>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134" w:name="_Toc88053854"/>
      <w:r>
        <w:rPr>
          <w:rFonts w:ascii="Times New Roman" w:hAnsi="Times New Roman"/>
          <w:b/>
          <w:caps w:val="0"/>
          <w:sz w:val="32"/>
          <w:szCs w:val="32"/>
        </w:rPr>
        <w:t>6.7.3完善固体废物收贮运体系</w:t>
      </w:r>
      <w:bookmarkEnd w:id="134"/>
    </w:p>
    <w:p>
      <w:pPr>
        <w:wordWrap/>
        <w:adjustRightInd w:val="0"/>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Cs/>
          <w:caps w:val="0"/>
          <w:sz w:val="32"/>
          <w:szCs w:val="32"/>
        </w:rPr>
        <w:t>（1）完善工业固体废物收贮运体系。依法探索安全高效的工业园区危险废物收运模式，开展危险废物收集贮存试点，鼓励危险废物处置单位在有危险废物收运需求、具备条件的工业园区设立危险废物收运贮存设施，为服务范围内的产废企业提供危险废物收集、运输和贮存服务，推动危险废物分类收集专业化、规模化和园区化发展。结合现状工业企业布局，着力解决小微产废企业危险废物收集难问题。提高废铅酸蓄电池、废矿物油、实验室废液等社会源危险废物的规范化收集处置率。推进危险废物转移</w:t>
      </w:r>
      <w:r>
        <w:rPr>
          <w:rFonts w:hint="eastAsia" w:ascii="Times New Roman" w:hAnsi="Times New Roman" w:eastAsia="仿宋_GB2312" w:cs="仿宋_GB2312"/>
          <w:bCs/>
          <w:caps w:val="0"/>
          <w:sz w:val="32"/>
          <w:szCs w:val="32"/>
        </w:rPr>
        <w:t>运输全过程定位跟踪监控，推动危险废物转移电子联单和电子运单无缝对接，实时共享危险废物产生、运输和利用处置信息。切实提高危险废物利用处置设施运营管理水平，逐步推行“装树联”。</w:t>
      </w:r>
    </w:p>
    <w:p>
      <w:pPr>
        <w:wordWrap/>
        <w:adjustRightInd w:val="0"/>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Cs/>
          <w:caps w:val="0"/>
          <w:sz w:val="32"/>
          <w:szCs w:val="32"/>
        </w:rPr>
        <w:t>（2</w:t>
      </w:r>
      <w:r>
        <w:rPr>
          <w:rFonts w:hint="eastAsia" w:ascii="Times New Roman" w:hAnsi="Times New Roman" w:eastAsia="仿宋_GB2312" w:cs="仿宋_GB2312"/>
          <w:bCs/>
          <w:caps w:val="0"/>
          <w:sz w:val="32"/>
          <w:szCs w:val="32"/>
        </w:rPr>
        <w:t>）健全城乡生活垃圾分类收运处理体系。精准落实生活垃圾分类投放、分类收运流程各接驳对接点责任，推广实施联单制度，确保各类垃圾</w:t>
      </w:r>
      <w:r>
        <w:rPr>
          <w:rFonts w:hint="eastAsia" w:ascii="Times New Roman" w:hAnsi="Times New Roman" w:cs="仿宋_GB2312"/>
          <w:bCs/>
          <w:caps w:val="0"/>
          <w:sz w:val="32"/>
          <w:szCs w:val="32"/>
          <w:lang w:eastAsia="zh-CN"/>
        </w:rPr>
        <w:t>实现</w:t>
      </w:r>
      <w:r>
        <w:rPr>
          <w:rFonts w:hint="eastAsia" w:ascii="Times New Roman" w:hAnsi="Times New Roman" w:eastAsia="仿宋_GB2312" w:cs="仿宋_GB2312"/>
          <w:bCs/>
          <w:caps w:val="0"/>
          <w:sz w:val="32"/>
          <w:szCs w:val="32"/>
        </w:rPr>
        <w:t>分类收集、运输。按照乡村振兴战略总要求，做好农村生活垃圾分类工作，对于人口密集、交通便利的农村地区，建立与城市生活垃圾系统衔接协同的生活垃圾分类体系；对于居住分散、交通不便的农村地区，结合美丽乡村建设、农村人居环境综合整治，同步推进生活垃圾分类。完善再生资源回收网络，发展资源回收和环卫系统“两网融合”模式。</w:t>
      </w:r>
    </w:p>
    <w:p>
      <w:pPr>
        <w:wordWrap/>
        <w:adjustRightInd w:val="0"/>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Cs/>
          <w:caps w:val="0"/>
          <w:sz w:val="32"/>
          <w:szCs w:val="32"/>
        </w:rPr>
        <w:t>（3）持续完善医疗废物综合管理体系。加强医疗废物和医疗垃圾收集、运输、贮存、处置全过程的环境污染防治，进一步提升医疗废物收集处置体系覆盖率。</w:t>
      </w:r>
    </w:p>
    <w:p>
      <w:pPr>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135" w:name="_Toc88053855"/>
      <w:r>
        <w:rPr>
          <w:rFonts w:ascii="Times New Roman" w:hAnsi="Times New Roman"/>
          <w:b/>
          <w:caps w:val="0"/>
          <w:sz w:val="32"/>
          <w:szCs w:val="32"/>
        </w:rPr>
        <w:t>6.7.4全方位提升利用处置能力</w:t>
      </w:r>
      <w:bookmarkEnd w:id="135"/>
    </w:p>
    <w:p>
      <w:pPr>
        <w:wordWrap/>
        <w:adjustRightInd w:val="0"/>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Cs/>
          <w:caps w:val="0"/>
          <w:sz w:val="32"/>
          <w:szCs w:val="32"/>
        </w:rPr>
        <w:t>（1）加强突出类别废物安全处置能力。推进皮革类废液、生活垃圾焚烧飞灰等突出类别危险废物处置能力建设，进一步提高利用处置能力。加快推进花都区工业危险废物焚烧设施的建设。按照《水泥窑协同处置固体废物污染防治技术政策》要求，建立水泥窑协同处置管理规范，指导越堡开展水泥窑协同处置固体废物（危险废物）可行性研究。推进工业固废产生企业内部共享危险废物利用处置设施，探索社会化运营。</w:t>
      </w:r>
    </w:p>
    <w:p>
      <w:pPr>
        <w:wordWrap/>
        <w:adjustRightInd w:val="0"/>
        <w:snapToGrid/>
        <w:spacing w:line="240" w:lineRule="auto"/>
        <w:ind w:firstLine="632" w:firstLineChars="200"/>
        <w:jc w:val="both"/>
        <w:textAlignment w:val="auto"/>
        <w:rPr>
          <w:rFonts w:hint="eastAsia" w:ascii="Times New Roman" w:hAnsi="Times New Roman" w:eastAsia="仿宋_GB2312" w:cs="仿宋_GB2312"/>
          <w:bCs/>
          <w:caps w:val="0"/>
          <w:sz w:val="32"/>
          <w:szCs w:val="32"/>
        </w:rPr>
      </w:pPr>
      <w:r>
        <w:rPr>
          <w:rFonts w:ascii="Times New Roman" w:hAnsi="Times New Roman"/>
          <w:bCs/>
          <w:caps w:val="0"/>
          <w:sz w:val="32"/>
          <w:szCs w:val="32"/>
        </w:rPr>
        <w:t>（2</w:t>
      </w:r>
      <w:r>
        <w:rPr>
          <w:rFonts w:hint="eastAsia" w:ascii="Times New Roman" w:hAnsi="Times New Roman" w:eastAsia="仿宋_GB2312" w:cs="仿宋_GB2312"/>
          <w:bCs/>
          <w:caps w:val="0"/>
          <w:sz w:val="32"/>
          <w:szCs w:val="32"/>
        </w:rPr>
        <w:t>）完成全区所有具备条件的污水处理厂污泥处理设施升级改造。全面推行污水处理厂内减容减量，加快推进污泥干化处理设施建设。强化污水处理厂运营企业“泥水并重”的主体处理责任，构建稳定的污泥资源化利用消纳渠道，根据污泥特征因地制宜选用水泥窑协同处置、热电厂掺烧和填埋等多种方式处理。</w:t>
      </w:r>
    </w:p>
    <w:p>
      <w:pPr>
        <w:wordWrap/>
        <w:adjustRightInd w:val="0"/>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Cs/>
          <w:caps w:val="0"/>
          <w:sz w:val="32"/>
          <w:szCs w:val="32"/>
        </w:rPr>
        <w:t>（2）坚持无害化、资源化处理处置生活垃圾。生活垃圾处理方式以焚烧处理为主，填埋作为飞灰处置与生活垃圾的调节、应急处理手段，结合餐厨垃圾的处置，完善垃圾综合处理系统。</w:t>
      </w:r>
    </w:p>
    <w:p>
      <w:pPr>
        <w:wordWrap/>
        <w:adjustRightInd w:val="0"/>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Cs/>
          <w:caps w:val="0"/>
          <w:sz w:val="32"/>
          <w:szCs w:val="32"/>
        </w:rPr>
        <w:t>（3）提高医疗废物应急处置能力。推进花都区工业危险废物焚烧设施协同处置医疗废物，鼓励支持利用生活垃圾焚烧炉补足医疗废物应急处置能力短板，满足突发公共卫生事件的医疗废物处置需求。</w:t>
      </w:r>
    </w:p>
    <w:p>
      <w:pPr>
        <w:wordWrap/>
        <w:adjustRightInd w:val="0"/>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Cs/>
          <w:caps w:val="0"/>
          <w:sz w:val="32"/>
          <w:szCs w:val="32"/>
        </w:rPr>
        <w:t>（4）建筑垃圾</w:t>
      </w:r>
      <w:r>
        <w:rPr>
          <w:rFonts w:hint="eastAsia"/>
          <w:bCs/>
          <w:caps w:val="0"/>
          <w:sz w:val="32"/>
          <w:szCs w:val="32"/>
          <w:lang w:eastAsia="zh-CN"/>
        </w:rPr>
        <w:t>坚持</w:t>
      </w:r>
      <w:r>
        <w:rPr>
          <w:rFonts w:ascii="Times New Roman" w:hAnsi="Times New Roman"/>
          <w:bCs/>
          <w:caps w:val="0"/>
          <w:sz w:val="32"/>
          <w:szCs w:val="32"/>
        </w:rPr>
        <w:t>回填优先</w:t>
      </w:r>
      <w:r>
        <w:rPr>
          <w:rFonts w:hint="eastAsia"/>
          <w:bCs/>
          <w:caps w:val="0"/>
          <w:sz w:val="32"/>
          <w:szCs w:val="32"/>
          <w:lang w:eastAsia="zh-CN"/>
        </w:rPr>
        <w:t>、</w:t>
      </w:r>
      <w:r>
        <w:rPr>
          <w:rFonts w:ascii="Times New Roman" w:hAnsi="Times New Roman"/>
          <w:bCs/>
          <w:caps w:val="0"/>
          <w:sz w:val="32"/>
          <w:szCs w:val="32"/>
        </w:rPr>
        <w:t>受纳为辅。施工场地产生的建筑垃圾应优先协调回填利用，协调工作可由企业之间、或经由花都区</w:t>
      </w:r>
      <w:r>
        <w:rPr>
          <w:rFonts w:hint="eastAsia"/>
          <w:bCs/>
          <w:caps w:val="0"/>
          <w:sz w:val="32"/>
          <w:szCs w:val="32"/>
          <w:lang w:eastAsia="zh-CN"/>
        </w:rPr>
        <w:t>相关</w:t>
      </w:r>
      <w:r>
        <w:rPr>
          <w:rFonts w:ascii="Times New Roman" w:hAnsi="Times New Roman"/>
          <w:bCs/>
          <w:caps w:val="0"/>
          <w:sz w:val="32"/>
          <w:szCs w:val="32"/>
        </w:rPr>
        <w:t>管理部门进行，但均需要登记、审核，消减建筑垃圾的受纳处理量，节约受纳场空间。对于暂时无处回填的建筑垃圾，运输至建筑垃圾受纳场堆放，有条件时进行回填或回收利用。</w:t>
      </w:r>
    </w:p>
    <w:p>
      <w:pPr>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136" w:name="_Toc88053856"/>
      <w:r>
        <w:rPr>
          <w:rFonts w:ascii="Times New Roman" w:hAnsi="Times New Roman"/>
          <w:b/>
          <w:caps w:val="0"/>
          <w:sz w:val="32"/>
          <w:szCs w:val="32"/>
        </w:rPr>
        <w:t>6.7.5健全固体废物监管体系</w:t>
      </w:r>
      <w:bookmarkEnd w:id="136"/>
    </w:p>
    <w:p>
      <w:pPr>
        <w:wordWrap/>
        <w:adjustRightInd w:val="0"/>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Cs/>
          <w:caps w:val="0"/>
          <w:sz w:val="32"/>
          <w:szCs w:val="32"/>
        </w:rPr>
        <w:t>（1）完善固体废物管理规范化体系。建立工业固体废物产生单位和经营单位规范化管理指标体系和定期考核制度，落实工业企业固体废物分类管理、申报登记、经营许可、管理计划、转移联单、应急预案等管理制度。强化企业污染防治主体责任，督促企业主动落实危险废物各项法律制度和标准规范。持续推进危险废物规范化管理工作，督促指导企业建立工业固体废物和危险废物管理台账。全面开展危险废物环境风险隐患排查，加大企业清库存力度，严格控制企业库存量，动态掌握危险废物产生、贮存信息。全面摸底调查和整治工业固体废物堆存场所，杜绝</w:t>
      </w:r>
      <w:r>
        <w:rPr>
          <w:rFonts w:hint="eastAsia"/>
          <w:bCs/>
          <w:caps w:val="0"/>
          <w:sz w:val="32"/>
          <w:szCs w:val="32"/>
          <w:lang w:eastAsia="zh-CN"/>
        </w:rPr>
        <w:t>出现</w:t>
      </w:r>
      <w:r>
        <w:rPr>
          <w:rFonts w:ascii="Times New Roman" w:hAnsi="Times New Roman"/>
          <w:bCs/>
          <w:caps w:val="0"/>
          <w:sz w:val="32"/>
          <w:szCs w:val="32"/>
        </w:rPr>
        <w:t>超量存储、扬散、流失、渗漏和管理粗放等问题。依托固体废物利用处置企业建立固体废物贮存与应急设施清单。</w:t>
      </w:r>
    </w:p>
    <w:p>
      <w:pPr>
        <w:wordWrap/>
        <w:adjustRightInd w:val="0"/>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Cs/>
          <w:caps w:val="0"/>
          <w:sz w:val="32"/>
          <w:szCs w:val="32"/>
        </w:rPr>
        <w:t>（2）建立与交通等相关职能部门的协调沟通制度。不定期会同交通、应急等行业主管部门，对危化品、危险废物运输车辆开展联合执法，严查非法收集、转运危险品的违法行为。部门间建立信息共享机制，定期公布分享运输车辆等方面的信息，实现无线、远程全方面监管，有效打击非法收集、转运危险品的违法行为。</w:t>
      </w:r>
    </w:p>
    <w:p>
      <w:pPr>
        <w:wordWrap/>
        <w:adjustRightInd w:val="0"/>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Cs/>
          <w:caps w:val="0"/>
          <w:sz w:val="32"/>
          <w:szCs w:val="32"/>
        </w:rPr>
        <w:t>（3）提升固体废物管理信息化水平。</w:t>
      </w:r>
      <w:r>
        <w:rPr>
          <w:rFonts w:hint="eastAsia" w:ascii="Times New Roman" w:hAnsi="Times New Roman"/>
          <w:bCs/>
          <w:caps w:val="0"/>
          <w:sz w:val="32"/>
          <w:szCs w:val="32"/>
        </w:rPr>
        <w:t>推进危险废物转移运输全过程定位跟踪监控，推动转移电子联单和电子运单无缝对接，实现危险废物产生、运输和利用处置信息共享，坚决遏制危险废物非法转移、倾倒、利用和处理处置。</w:t>
      </w:r>
      <w:r>
        <w:rPr>
          <w:rFonts w:ascii="Times New Roman" w:hAnsi="Times New Roman"/>
          <w:bCs/>
          <w:caps w:val="0"/>
          <w:sz w:val="32"/>
          <w:szCs w:val="32"/>
        </w:rPr>
        <w:t>依托广东省固体废物信息管理平台，</w:t>
      </w:r>
      <w:r>
        <w:rPr>
          <w:rFonts w:hint="eastAsia" w:ascii="Times New Roman" w:hAnsi="Times New Roman"/>
          <w:bCs/>
          <w:caps w:val="0"/>
          <w:sz w:val="32"/>
          <w:szCs w:val="32"/>
        </w:rPr>
        <w:t>进一步规范</w:t>
      </w:r>
      <w:r>
        <w:rPr>
          <w:rFonts w:ascii="Times New Roman" w:hAnsi="Times New Roman"/>
          <w:bCs/>
          <w:caps w:val="0"/>
          <w:sz w:val="32"/>
          <w:szCs w:val="32"/>
        </w:rPr>
        <w:t>固体废物信息管理，</w:t>
      </w:r>
      <w:r>
        <w:rPr>
          <w:rFonts w:hint="eastAsia" w:ascii="Times New Roman" w:hAnsi="Times New Roman"/>
          <w:bCs/>
          <w:caps w:val="0"/>
          <w:sz w:val="32"/>
          <w:szCs w:val="32"/>
        </w:rPr>
        <w:t>完善</w:t>
      </w:r>
      <w:r>
        <w:rPr>
          <w:rFonts w:ascii="Times New Roman" w:hAnsi="Times New Roman"/>
          <w:bCs/>
          <w:caps w:val="0"/>
          <w:sz w:val="32"/>
          <w:szCs w:val="32"/>
        </w:rPr>
        <w:t>与省、市固体废物信息管理平台的信息交换机制。</w:t>
      </w:r>
    </w:p>
    <w:p>
      <w:pPr>
        <w:wordWrap/>
        <w:adjustRightInd w:val="0"/>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Cs/>
          <w:caps w:val="0"/>
          <w:sz w:val="32"/>
          <w:szCs w:val="32"/>
        </w:rPr>
        <w:t>（4）实施生产者责任延伸制度。以铅酸蓄电池、动力蓄电池、电器电子产品为重点，实施生产者责任延伸制，到2025年，基本建立动力蓄电池回收利用体系。</w:t>
      </w:r>
    </w:p>
    <w:p>
      <w:pPr>
        <w:pStyle w:val="4"/>
        <w:keepNext/>
        <w:keepLines/>
        <w:widowControl w:val="0"/>
        <w:wordWrap/>
        <w:adjustRightInd/>
        <w:snapToGrid/>
        <w:spacing w:beforeLines="50" w:afterLines="50" w:line="240" w:lineRule="auto"/>
        <w:ind w:firstLine="632" w:firstLineChars="200"/>
        <w:jc w:val="both"/>
        <w:textAlignment w:val="auto"/>
        <w:rPr>
          <w:rFonts w:ascii="Times New Roman" w:hAnsi="Times New Roman" w:eastAsia="宋体"/>
          <w:caps w:val="0"/>
          <w:sz w:val="32"/>
          <w:szCs w:val="32"/>
        </w:rPr>
      </w:pPr>
      <w:bookmarkStart w:id="137" w:name="_Toc88053857"/>
      <w:r>
        <w:rPr>
          <w:rFonts w:ascii="Times New Roman" w:hAnsi="Times New Roman" w:eastAsia="宋体"/>
          <w:b w:val="0"/>
          <w:bCs w:val="0"/>
          <w:caps w:val="0"/>
          <w:sz w:val="32"/>
          <w:szCs w:val="32"/>
        </w:rPr>
        <w:t>6.8</w:t>
      </w:r>
      <w:r>
        <w:rPr>
          <w:rFonts w:hint="eastAsia" w:ascii="Times New Roman" w:hAnsi="Times New Roman" w:eastAsia="楷体_GB2312" w:cs="楷体_GB2312"/>
          <w:b w:val="0"/>
          <w:bCs w:val="0"/>
          <w:caps w:val="0"/>
          <w:sz w:val="32"/>
          <w:szCs w:val="32"/>
        </w:rPr>
        <w:t>声环境污染防治规划</w:t>
      </w:r>
      <w:bookmarkEnd w:id="89"/>
      <w:bookmarkEnd w:id="90"/>
      <w:bookmarkEnd w:id="91"/>
      <w:bookmarkEnd w:id="92"/>
      <w:bookmarkEnd w:id="93"/>
      <w:bookmarkEnd w:id="94"/>
      <w:bookmarkEnd w:id="95"/>
      <w:bookmarkEnd w:id="137"/>
    </w:p>
    <w:p>
      <w:pPr>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138" w:name="_Toc88053858"/>
      <w:r>
        <w:rPr>
          <w:rFonts w:ascii="Times New Roman" w:hAnsi="Times New Roman"/>
          <w:b/>
          <w:caps w:val="0"/>
          <w:sz w:val="32"/>
          <w:szCs w:val="32"/>
        </w:rPr>
        <w:t>6.8.1强化噪声源头防控</w:t>
      </w:r>
      <w:bookmarkEnd w:id="138"/>
    </w:p>
    <w:p>
      <w:pPr>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在编制控制性详细规划过程中，</w:t>
      </w:r>
      <w:r>
        <w:rPr>
          <w:rFonts w:hint="eastAsia" w:ascii="Times New Roman" w:hAnsi="Times New Roman"/>
          <w:bCs/>
          <w:caps w:val="0"/>
          <w:sz w:val="32"/>
          <w:szCs w:val="32"/>
        </w:rPr>
        <w:t>充分考虑规划实施可能造成的环境噪声影响，合理安排功能区和建设布局</w:t>
      </w:r>
      <w:r>
        <w:rPr>
          <w:rFonts w:ascii="Times New Roman" w:hAnsi="Times New Roman"/>
          <w:caps w:val="0"/>
          <w:sz w:val="32"/>
          <w:szCs w:val="32"/>
        </w:rPr>
        <w:t>，</w:t>
      </w:r>
      <w:r>
        <w:rPr>
          <w:rFonts w:hint="eastAsia" w:ascii="Times New Roman" w:hAnsi="Times New Roman"/>
          <w:caps w:val="0"/>
          <w:sz w:val="32"/>
          <w:szCs w:val="32"/>
        </w:rPr>
        <w:t>避免在广州白云国际机场飞机噪声影响范围内新建住宅和学校、医院等敏感项目</w:t>
      </w:r>
      <w:r>
        <w:rPr>
          <w:rFonts w:ascii="Times New Roman" w:hAnsi="Times New Roman"/>
          <w:caps w:val="0"/>
          <w:sz w:val="32"/>
          <w:szCs w:val="32"/>
        </w:rPr>
        <w:t>。文教办公区、居民集中区等与工业区、产业组团、主要交通干线应保持适当的距离并设置声环境功能区过渡缓冲带。房地产主管部门督促建设单位、设计单位从严落实民用建筑隔声设计规范、标准，将隔声减噪标准执行情况纳入设计质量抽查内容进行监管。</w:t>
      </w:r>
    </w:p>
    <w:p>
      <w:pPr>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139" w:name="_Toc88053859"/>
      <w:r>
        <w:rPr>
          <w:rFonts w:ascii="Times New Roman" w:hAnsi="Times New Roman"/>
          <w:b/>
          <w:caps w:val="0"/>
          <w:sz w:val="32"/>
          <w:szCs w:val="32"/>
        </w:rPr>
        <w:t>6.8.2加强各类噪声污染防治</w:t>
      </w:r>
      <w:bookmarkEnd w:id="139"/>
    </w:p>
    <w:p>
      <w:pPr>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推进施工噪声治理。住建、交通运输等行业主管部门大力推进绿色施工、文明施工管理，规范施工现场降噪技术流程，明确责任到人。加强工地噪声实时监控，运用视频监控等先进技术对施工工地进行监控。以施工时间和施工设备为重点加强噪声整治，推广运用低噪声工艺设备。推进在建工地信息公开，对施工时间、工程进度等内容予以公开，接受公众监督，促进文明施工。严格夜间施工管理，噪声敏感区内的夜间施工必须采用低噪声工艺设备，加强隔声治理。建立夜间施工时间总量和优化调配机制，严控重点工程项目夜间施工量。城管部门加强夜间施工噪声专项执法，对不文明施工行为进行依法处理。</w:t>
      </w:r>
    </w:p>
    <w:p>
      <w:pPr>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加强交通噪声污染防治。新建地面交通设施优化选线，新、改、扩建公路和城市道路，宜优先采用低噪声路面技术和材料，具备条件的项目应避免穿越噪声敏感建筑物集中区域；确需穿越噪声敏感建筑物集中区域的，督促建设单位采取设置隔声屏障、建设生态隔离带或为两侧受污染的噪声敏感建筑物安装隔声门窗等噪声污染防治措施。</w:t>
      </w:r>
      <w:r>
        <w:rPr>
          <w:rFonts w:hint="eastAsia" w:ascii="Times New Roman" w:hAnsi="Times New Roman"/>
          <w:caps w:val="0"/>
          <w:sz w:val="32"/>
          <w:szCs w:val="32"/>
        </w:rPr>
        <w:t>加强高速公路、铁路等现有交通干线绿化隔离带建设，控制主要交通干道两侧生态隔离带宽度并在隔离带内种植混合林带隔声降噪以及通过建设声屏障、安装降噪装置等措施减轻交通噪声污染。</w:t>
      </w:r>
      <w:r>
        <w:rPr>
          <w:rFonts w:ascii="Times New Roman" w:hAnsi="Times New Roman"/>
          <w:caps w:val="0"/>
          <w:sz w:val="32"/>
          <w:szCs w:val="32"/>
        </w:rPr>
        <w:t>公安部门科学划定禁鸣区域、路段和时段，在噪声敏感建筑物集中区域和敏感时段采取限鸣、限行、限速等措施，合理控制道路交通参数，降低道路交通噪声。</w:t>
      </w:r>
      <w:r>
        <w:rPr>
          <w:rFonts w:hint="eastAsia" w:ascii="Times New Roman" w:hAnsi="Times New Roman"/>
          <w:bCs/>
          <w:caps w:val="0"/>
          <w:sz w:val="32"/>
          <w:szCs w:val="32"/>
        </w:rPr>
        <w:t>强化机场噪声污染防治，对受机场噪声影响区域新建建筑落实噪声预防措施。</w:t>
      </w:r>
    </w:p>
    <w:p>
      <w:pPr>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推进工业噪声治理。对纳入排污许可管理的企事业单位和生产经营者，严格按照排污许可管理制度的相关要求规范其噪声排放行为，同时加大监管力度，强化日常执法巡查，依法查处未办理环评手续、未配套建设噪声污染防治设施、未办理噪声污染防治设施验收手续、噪声超标等环境违法行为，督促工业企业加强噪声治理，及时有效处理噪声扰民问题。</w:t>
      </w:r>
    </w:p>
    <w:p>
      <w:pPr>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推进社会生活噪声污染防控。严格管理公园等公共场所的娱乐、聚会、体育锻炼等活动，严格管控在已竣工交付使用的住宅楼内进行装修等活动产生的噪声及其他社会生活噪声。加强巡逻检查和执法力度，及时处理噪声污染投诉，有效遏制噪声扰民问题。对已建成使用的居民住宅楼内的电梯、水泵、变压器等共用设施设备产生的噪声进行监督管控，督促所有者、管理者加强维护管理，使设施设备产生的环境噪声不再影响居民生活，鼓励小区物业参与声环境管理，推进小区居民自治管理噪声制度试点。</w:t>
      </w:r>
    </w:p>
    <w:p>
      <w:pPr>
        <w:wordWrap/>
        <w:adjustRightInd w:val="0"/>
        <w:snapToGrid/>
        <w:spacing w:line="240" w:lineRule="auto"/>
        <w:ind w:firstLine="632" w:firstLineChars="200"/>
        <w:jc w:val="both"/>
        <w:textAlignment w:val="auto"/>
        <w:outlineLvl w:val="2"/>
        <w:rPr>
          <w:rFonts w:hint="eastAsia" w:ascii="Times New Roman" w:hAnsi="Times New Roman" w:eastAsia="仿宋_GB2312" w:cs="仿宋_GB2312"/>
          <w:b/>
          <w:caps w:val="0"/>
          <w:sz w:val="32"/>
          <w:szCs w:val="32"/>
        </w:rPr>
      </w:pPr>
      <w:bookmarkStart w:id="140" w:name="_Toc88053860"/>
      <w:r>
        <w:rPr>
          <w:rFonts w:ascii="Times New Roman" w:hAnsi="Times New Roman"/>
          <w:b/>
          <w:caps w:val="0"/>
          <w:sz w:val="32"/>
          <w:szCs w:val="32"/>
        </w:rPr>
        <w:t>6.8.3</w:t>
      </w:r>
      <w:r>
        <w:rPr>
          <w:rFonts w:hint="eastAsia" w:ascii="Times New Roman" w:hAnsi="Times New Roman" w:eastAsia="仿宋_GB2312" w:cs="仿宋_GB2312"/>
          <w:b/>
          <w:caps w:val="0"/>
          <w:sz w:val="32"/>
          <w:szCs w:val="32"/>
        </w:rPr>
        <w:t>强化声环境质量管理工作</w:t>
      </w:r>
      <w:bookmarkEnd w:id="140"/>
    </w:p>
    <w:p>
      <w:pPr>
        <w:wordWrap/>
        <w:snapToGrid/>
        <w:spacing w:line="240" w:lineRule="auto"/>
        <w:ind w:firstLine="632" w:firstLineChars="200"/>
        <w:jc w:val="both"/>
        <w:textAlignment w:val="auto"/>
        <w:rPr>
          <w:rFonts w:ascii="Times New Roman" w:hAnsi="Times New Roman"/>
          <w:caps w:val="0"/>
          <w:sz w:val="32"/>
          <w:szCs w:val="32"/>
        </w:rPr>
      </w:pPr>
      <w:r>
        <w:rPr>
          <w:rFonts w:hint="eastAsia" w:ascii="Times New Roman" w:hAnsi="Times New Roman" w:eastAsia="仿宋_GB2312" w:cs="仿宋_GB2312"/>
          <w:caps w:val="0"/>
          <w:sz w:val="32"/>
          <w:szCs w:val="32"/>
        </w:rPr>
        <w:t>优化声环境质量评价指标及方法，采用“城市声环境功能区夜间监测总点次达标率”指标对区域声质量进行年度评价，</w:t>
      </w:r>
      <w:r>
        <w:rPr>
          <w:rFonts w:ascii="Times New Roman" w:hAnsi="Times New Roman"/>
          <w:caps w:val="0"/>
          <w:sz w:val="32"/>
          <w:szCs w:val="32"/>
        </w:rPr>
        <w:t>2025年花都区城市声环境功能区夜间监测总点次达标率不低于80%。定期开展花都区环境噪声调查工作，及时了解全区声环境质量状况和噪声污染控制工作重点。探索建立花都区噪声地图，提高声环境管理水平。</w:t>
      </w:r>
    </w:p>
    <w:p>
      <w:pPr>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完善声环境质量发布方式，在中心区环境噪声敏感区增设噪声监控显示屏或警示屏，实时反映声环境质量。鼓励公众参与声环境质量管理工作，发挥媒体对各类噪声扰民的舆论监督作用，加大噪声违法的曝光力度，每年“六五”环境日期间，组织媒体宣传报道声环境质量状况和噪声污染防治相关情况。加强噪声污染信访投诉处置，保障噪声污染投诉渠道畅通，将排放超标并严重扰民的噪声污染问题列入年度整治重点任务。</w:t>
      </w:r>
    </w:p>
    <w:p>
      <w:pPr>
        <w:pStyle w:val="4"/>
        <w:keepNext/>
        <w:keepLines/>
        <w:widowControl w:val="0"/>
        <w:wordWrap/>
        <w:adjustRightInd/>
        <w:snapToGrid/>
        <w:spacing w:beforeLines="50" w:afterLines="50" w:line="240" w:lineRule="auto"/>
        <w:ind w:firstLine="632" w:firstLineChars="200"/>
        <w:jc w:val="both"/>
        <w:textAlignment w:val="auto"/>
        <w:rPr>
          <w:rFonts w:ascii="Times New Roman" w:hAnsi="Times New Roman" w:eastAsia="宋体"/>
          <w:b w:val="0"/>
          <w:bCs w:val="0"/>
          <w:caps w:val="0"/>
          <w:sz w:val="32"/>
          <w:szCs w:val="32"/>
        </w:rPr>
      </w:pPr>
      <w:bookmarkStart w:id="141" w:name="_Toc361927572"/>
      <w:bookmarkStart w:id="142" w:name="_Toc344218692"/>
      <w:bookmarkStart w:id="143" w:name="_Toc88053861"/>
      <w:bookmarkStart w:id="144" w:name="_Toc344370742"/>
      <w:bookmarkStart w:id="145" w:name="_Toc344218816"/>
      <w:bookmarkStart w:id="146" w:name="_Toc344370619"/>
      <w:bookmarkStart w:id="147" w:name="_Toc184288562"/>
      <w:bookmarkStart w:id="148" w:name="_Toc184084601"/>
      <w:r>
        <w:rPr>
          <w:rFonts w:ascii="Times New Roman" w:hAnsi="Times New Roman" w:eastAsia="宋体"/>
          <w:b w:val="0"/>
          <w:bCs w:val="0"/>
          <w:caps w:val="0"/>
          <w:sz w:val="32"/>
          <w:szCs w:val="32"/>
        </w:rPr>
        <w:t>6.9</w:t>
      </w:r>
      <w:r>
        <w:rPr>
          <w:rFonts w:hint="eastAsia" w:ascii="Times New Roman" w:hAnsi="Times New Roman" w:eastAsia="楷体_GB2312" w:cs="楷体_GB2312"/>
          <w:b w:val="0"/>
          <w:bCs w:val="0"/>
          <w:caps w:val="0"/>
          <w:sz w:val="32"/>
          <w:szCs w:val="32"/>
        </w:rPr>
        <w:t>农村生态环境保护规划</w:t>
      </w:r>
      <w:bookmarkEnd w:id="141"/>
      <w:bookmarkEnd w:id="142"/>
      <w:bookmarkEnd w:id="143"/>
      <w:bookmarkEnd w:id="144"/>
      <w:bookmarkEnd w:id="145"/>
      <w:bookmarkEnd w:id="146"/>
      <w:bookmarkEnd w:id="147"/>
      <w:bookmarkEnd w:id="148"/>
    </w:p>
    <w:p>
      <w:pPr>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149" w:name="_Toc88053862"/>
      <w:bookmarkStart w:id="150" w:name="_Toc287888743"/>
      <w:r>
        <w:rPr>
          <w:rFonts w:ascii="Times New Roman" w:hAnsi="Times New Roman"/>
          <w:b/>
          <w:caps w:val="0"/>
          <w:sz w:val="32"/>
          <w:szCs w:val="32"/>
        </w:rPr>
        <w:t>6.9.1加强农村人居环境污染整治</w:t>
      </w:r>
      <w:bookmarkEnd w:id="149"/>
    </w:p>
    <w:p>
      <w:pPr>
        <w:wordWrap/>
        <w:adjustRightInd w:val="0"/>
        <w:snapToGrid/>
        <w:spacing w:line="240" w:lineRule="auto"/>
        <w:ind w:firstLine="632" w:firstLineChars="200"/>
        <w:jc w:val="both"/>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深化农村人居环境综合治理。</w:t>
      </w:r>
      <w:bookmarkStart w:id="151" w:name="_Hlk88381444"/>
      <w:r>
        <w:rPr>
          <w:rFonts w:hint="eastAsia" w:ascii="Times New Roman" w:hAnsi="Times New Roman" w:eastAsia="仿宋_GB2312" w:cs="仿宋_GB2312"/>
          <w:caps w:val="0"/>
          <w:sz w:val="32"/>
          <w:szCs w:val="32"/>
        </w:rPr>
        <w:t>进一步完善“村收集、镇转运、区处理”的农村生活垃圾治理模式，结合美丽乡村建设、农村人居环境综合整治，同步推进生活垃圾分类。</w:t>
      </w:r>
      <w:bookmarkEnd w:id="151"/>
      <w:r>
        <w:rPr>
          <w:rFonts w:hint="eastAsia" w:ascii="Times New Roman" w:hAnsi="Times New Roman" w:eastAsia="仿宋_GB2312" w:cs="仿宋_GB2312"/>
          <w:caps w:val="0"/>
          <w:sz w:val="32"/>
          <w:szCs w:val="32"/>
        </w:rPr>
        <w:t>补齐农村环保基础设施建设短板。深入实施“千村示范，万村整治”工程，健全生活垃圾收运处理体系，推进农村改厕，因地制宜强化农村污水收集处理。完善农村环境保护机制，将农村水环境治理纳入河湖长制管理。</w:t>
      </w:r>
    </w:p>
    <w:p>
      <w:pPr>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152" w:name="_Toc88053863"/>
      <w:bookmarkStart w:id="153" w:name="_Toc361927575"/>
      <w:r>
        <w:rPr>
          <w:rFonts w:ascii="Times New Roman" w:hAnsi="Times New Roman"/>
          <w:b/>
          <w:caps w:val="0"/>
          <w:sz w:val="32"/>
          <w:szCs w:val="32"/>
        </w:rPr>
        <w:t>6.9.2严防养殖种植污染</w:t>
      </w:r>
      <w:bookmarkEnd w:id="152"/>
      <w:bookmarkEnd w:id="153"/>
    </w:p>
    <w:p>
      <w:pPr>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b/>
          <w:bCs/>
          <w:caps w:val="0"/>
          <w:sz w:val="32"/>
          <w:szCs w:val="32"/>
        </w:rPr>
        <w:t>加强畜禽养殖污染防治，促进农业循环经济发展</w:t>
      </w:r>
      <w:r>
        <w:rPr>
          <w:rFonts w:ascii="Times New Roman" w:hAnsi="Times New Roman"/>
          <w:caps w:val="0"/>
          <w:sz w:val="32"/>
          <w:szCs w:val="32"/>
        </w:rPr>
        <w:t>。规范禁养区划定与管理，调整优化畜禽养殖布局，开展现代化美丽牧场创建。加快畜禽养殖污染治理及废弃物综合利用设施的建设，推进畜禽养殖场污水收集处置设施建设</w:t>
      </w:r>
      <w:r>
        <w:rPr>
          <w:rFonts w:hint="eastAsia" w:ascii="Times New Roman" w:hAnsi="Times New Roman"/>
          <w:caps w:val="0"/>
          <w:sz w:val="32"/>
          <w:szCs w:val="32"/>
        </w:rPr>
        <w:t>，</w:t>
      </w:r>
      <w:r>
        <w:rPr>
          <w:rFonts w:ascii="Times New Roman" w:hAnsi="Times New Roman"/>
          <w:caps w:val="0"/>
          <w:sz w:val="32"/>
          <w:szCs w:val="32"/>
        </w:rPr>
        <w:t>保证废水达标排放。鼓励畜禽养殖场采用生态养殖、高床养殖、种养结合等技术发展畜禽养殖，推动畜禽养殖业优化升级，从源头减少畜禽养殖污染。优先开展种养业有机结合、循环发展试点，推进畜禽养殖标准化示范创建。统筹畜牧业发展与环境保护，加大重点区域和重点养殖单元的治理改造工作。推进水产养殖尾水治理，健全和完善池塘养殖水排放长效管理机制。强化畜禽养殖废弃物资源化利用，强化畜禽养殖者主体责任。发展生态循环农业，推进秸秆、农膜等农业废弃物资源化利用。</w:t>
      </w:r>
    </w:p>
    <w:p>
      <w:pPr>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b/>
          <w:bCs/>
          <w:caps w:val="0"/>
          <w:sz w:val="32"/>
          <w:szCs w:val="32"/>
        </w:rPr>
        <w:t>加强水产养殖污染防治。</w:t>
      </w:r>
      <w:r>
        <w:rPr>
          <w:rFonts w:ascii="Times New Roman" w:hAnsi="Times New Roman"/>
          <w:caps w:val="0"/>
          <w:sz w:val="32"/>
          <w:szCs w:val="32"/>
        </w:rPr>
        <w:t>进一步优化养殖布局，推进水产养殖池塘升级改造，完善水产养殖基础设施，推进养殖用水循环利用，加强养殖水达标排放管理，推广应用节能减排、节地节水、循环利用等环境友好型养殖模式，发展水产健康养殖。</w:t>
      </w:r>
    </w:p>
    <w:p>
      <w:pPr>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b/>
          <w:bCs/>
          <w:caps w:val="0"/>
          <w:sz w:val="32"/>
          <w:szCs w:val="32"/>
        </w:rPr>
        <w:t>强化农业面源污染控制与治理</w:t>
      </w:r>
      <w:r>
        <w:rPr>
          <w:rFonts w:ascii="Times New Roman" w:hAnsi="Times New Roman"/>
          <w:caps w:val="0"/>
          <w:sz w:val="32"/>
          <w:szCs w:val="32"/>
        </w:rPr>
        <w:t>。大力推进秸秆的资源化综合利用，减少化肥用量，降低种植业化肥面源污染。强化对农药、化肥、农膜使用的环境管理，加强秸秆综合利用，发展农业循环经济。推动农药化肥施用减量增效。深入推进测土配方施肥和农作物病虫害统防统治与全程绿色防控。科学施用化肥、农药，大力发展无公害农业和有机农业。控制农业面源污染，控制农药使用规模，积极运用农业病虫害综合防治和生物防治技术，鼓励使用高效、低毒、低残留农药。加大无公害农产品生产技术的宣传和指导，强化农产品基地生态环境监测及产品安全管理。推进农业结构调整，开展农业节肥节药行动，实现化肥农药亩均使用量负增长。构建以种养结合、地力培养为依托的农业生态系统。</w:t>
      </w:r>
    </w:p>
    <w:p>
      <w:pPr>
        <w:wordWrap/>
        <w:snapToGrid/>
        <w:spacing w:line="240" w:lineRule="auto"/>
        <w:ind w:firstLine="632" w:firstLineChars="200"/>
        <w:jc w:val="both"/>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b/>
          <w:bCs/>
          <w:caps w:val="0"/>
          <w:sz w:val="32"/>
          <w:szCs w:val="32"/>
        </w:rPr>
        <w:t>推动生态农业发展。</w:t>
      </w:r>
      <w:r>
        <w:rPr>
          <w:rFonts w:hint="eastAsia" w:ascii="Times New Roman" w:hAnsi="Times New Roman" w:eastAsia="仿宋_GB2312" w:cs="仿宋_GB2312"/>
          <w:caps w:val="0"/>
          <w:sz w:val="32"/>
          <w:szCs w:val="32"/>
        </w:rPr>
        <w:t>推进实施商品有机肥购置补贴和粤港澳大湾区“菜篮子”生产基地使用生物农药等绿色防控产品奖励政策。做强蔬菜、水果、花卉、水产等特色产业，突出绿色化、优质化、品牌化。着力推进广州空港花世界现代农业产业园、广州市花都区渔业产业园等</w:t>
      </w:r>
      <w:r>
        <w:rPr>
          <w:rFonts w:ascii="Times New Roman" w:hAnsi="Times New Roman"/>
          <w:caps w:val="0"/>
          <w:sz w:val="32"/>
          <w:szCs w:val="32"/>
        </w:rPr>
        <w:t>2</w:t>
      </w:r>
      <w:r>
        <w:rPr>
          <w:rFonts w:hint="eastAsia" w:ascii="Times New Roman" w:hAnsi="Times New Roman" w:eastAsia="仿宋_GB2312" w:cs="仿宋_GB2312"/>
          <w:caps w:val="0"/>
          <w:sz w:val="32"/>
          <w:szCs w:val="32"/>
        </w:rPr>
        <w:t>个省级现代农业产业园建设。加快推动生猪养殖向规模化、现代化、生态化转型。推广“稻鱼共生”“稻蛙共生”综合种养模式，发展特色水产新业态，创建渔业健康养殖示范区。推进农业向科技型、生态型转型升级，加快形成具有花都特色的都市型现代农业新格局。</w:t>
      </w:r>
    </w:p>
    <w:p>
      <w:pPr>
        <w:wordWrap/>
        <w:adjustRightInd w:val="0"/>
        <w:snapToGrid/>
        <w:spacing w:line="240" w:lineRule="auto"/>
        <w:ind w:firstLine="632" w:firstLineChars="200"/>
        <w:jc w:val="both"/>
        <w:textAlignment w:val="auto"/>
        <w:outlineLvl w:val="2"/>
        <w:rPr>
          <w:rFonts w:hint="eastAsia" w:ascii="Times New Roman" w:hAnsi="Times New Roman" w:eastAsia="仿宋_GB2312" w:cs="仿宋_GB2312"/>
          <w:b/>
          <w:caps w:val="0"/>
          <w:sz w:val="32"/>
          <w:szCs w:val="32"/>
        </w:rPr>
      </w:pPr>
      <w:bookmarkStart w:id="154" w:name="_Toc361927581"/>
      <w:bookmarkStart w:id="155" w:name="_Toc88053864"/>
      <w:r>
        <w:rPr>
          <w:rFonts w:ascii="Times New Roman" w:hAnsi="Times New Roman"/>
          <w:b/>
          <w:caps w:val="0"/>
          <w:sz w:val="32"/>
          <w:szCs w:val="32"/>
        </w:rPr>
        <w:t>6.9.3</w:t>
      </w:r>
      <w:r>
        <w:rPr>
          <w:rFonts w:hint="eastAsia" w:ascii="Times New Roman" w:hAnsi="Times New Roman" w:eastAsia="仿宋_GB2312" w:cs="仿宋_GB2312"/>
          <w:b/>
          <w:caps w:val="0"/>
          <w:sz w:val="32"/>
          <w:szCs w:val="32"/>
        </w:rPr>
        <w:t>推进美丽乡村建设</w:t>
      </w:r>
      <w:bookmarkEnd w:id="154"/>
      <w:bookmarkEnd w:id="155"/>
    </w:p>
    <w:p>
      <w:pPr>
        <w:wordWrap/>
        <w:snapToGrid/>
        <w:spacing w:line="240" w:lineRule="auto"/>
        <w:ind w:firstLine="632" w:firstLineChars="200"/>
        <w:jc w:val="both"/>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b/>
          <w:bCs/>
          <w:caps w:val="0"/>
          <w:sz w:val="32"/>
          <w:szCs w:val="32"/>
        </w:rPr>
        <w:t>科学编制美丽乡村规划</w:t>
      </w:r>
      <w:r>
        <w:rPr>
          <w:rFonts w:hint="eastAsia" w:ascii="Times New Roman" w:hAnsi="Times New Roman" w:eastAsia="仿宋_GB2312" w:cs="仿宋_GB2312"/>
          <w:caps w:val="0"/>
          <w:sz w:val="32"/>
          <w:szCs w:val="32"/>
        </w:rPr>
        <w:t>。坚持“多规合一”，衔接《花都区国土空间总体规划》，扎实做好乡村规划编制，着力构建“一区两带”乡村产业区域格局。山前旅游大道以北区域，以农、旅、文融合发展为重点，打造农、旅、文融合发展的北部生态旅游区。山前旅游大道以南、花都大道以北，以花卉、蔬菜、水产、畜牧业为主，加快建设空港花世界现代农业产业园、岭南盆景小镇，打造特色生态产业为支撑的都市现代农业带。整体提升花都大道沿线景区景点、自然景观、农业基地和特色小镇，着力建设广州北站商务区、跨境电商国际枢纽港，打造岭南特色城乡融合发展带。</w:t>
      </w:r>
    </w:p>
    <w:p>
      <w:pPr>
        <w:wordWrap/>
        <w:snapToGrid/>
        <w:spacing w:line="240" w:lineRule="auto"/>
        <w:ind w:firstLine="632" w:firstLineChars="200"/>
        <w:jc w:val="both"/>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b/>
          <w:bCs/>
          <w:caps w:val="0"/>
          <w:sz w:val="32"/>
          <w:szCs w:val="32"/>
        </w:rPr>
        <w:t>打造乡村振兴典范</w:t>
      </w:r>
      <w:r>
        <w:rPr>
          <w:rFonts w:hint="eastAsia" w:ascii="Times New Roman" w:hAnsi="Times New Roman" w:eastAsia="仿宋_GB2312" w:cs="仿宋_GB2312"/>
          <w:caps w:val="0"/>
          <w:sz w:val="32"/>
          <w:szCs w:val="32"/>
        </w:rPr>
        <w:t>。以“培育重点、打造样板、辐射带动、示范引领”为原则，按照“五个振兴”总体要求，结合各镇（街）、村产业基础、地域风貌、人文历史等禀赋，突出特色、因地制宜，集中优势资源打造一批拿得出、叫得响、独具特色的乡村振兴示范点，带动全区乡村振兴发展。按照“一镇一示范”的原则，每个镇（街）每年选取条件较好的一个村，优先保障用地和资金，打造一批乡村振兴示范村。提升乡村地区田、林、水、筑、点、路、园七大风貌控制要素的空间品质。推进乡村绿化美化亮化行动，实施“一路、一园、一林”绿化工程。</w:t>
      </w:r>
    </w:p>
    <w:p>
      <w:pPr>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b/>
          <w:bCs/>
          <w:caps w:val="0"/>
          <w:sz w:val="32"/>
          <w:szCs w:val="32"/>
        </w:rPr>
        <w:t>加快推进新时代精美乡村</w:t>
      </w:r>
      <w:r>
        <w:rPr>
          <w:rFonts w:ascii="Times New Roman" w:hAnsi="Times New Roman"/>
          <w:caps w:val="0"/>
          <w:sz w:val="32"/>
          <w:szCs w:val="32"/>
        </w:rPr>
        <w:t>。以人居环境综合整治为抓手，着力推进生态振兴，持续推进农村突出环境问题综合治理，扎实推</w:t>
      </w:r>
      <w:r>
        <w:rPr>
          <w:rFonts w:hint="eastAsia" w:ascii="Times New Roman" w:hAnsi="Times New Roman" w:eastAsia="仿宋_GB2312" w:cs="仿宋_GB2312"/>
          <w:caps w:val="0"/>
          <w:sz w:val="32"/>
          <w:szCs w:val="32"/>
        </w:rPr>
        <w:t>进生态宜居美丽乡村建设。全面开展区内农村级水源地调查，逐步推进农村水源环境问题整治。持续推进农村“厕所革命”，梯次创建“干净整洁村”“美丽宜居村”“特色精品村”，把乡村人居环境提升与美丽文明村居、“五好”新农村、特色小镇建设有机结合起来，建设精美农村。重点打造“瑞岭</w:t>
      </w:r>
      <w:r>
        <w:rPr>
          <w:rFonts w:hint="eastAsia" w:ascii="Times New Roman" w:hAnsi="Times New Roman" w:cs="仿宋_GB2312"/>
          <w:caps w:val="0"/>
          <w:sz w:val="32"/>
          <w:szCs w:val="32"/>
          <w:lang w:eastAsia="zh-CN"/>
        </w:rPr>
        <w:t>—</w:t>
      </w:r>
      <w:r>
        <w:rPr>
          <w:rFonts w:hint="eastAsia" w:ascii="Times New Roman" w:hAnsi="Times New Roman" w:eastAsia="仿宋_GB2312" w:cs="仿宋_GB2312"/>
          <w:caps w:val="0"/>
          <w:sz w:val="32"/>
          <w:szCs w:val="32"/>
        </w:rPr>
        <w:t>竹洞</w:t>
      </w:r>
      <w:r>
        <w:rPr>
          <w:rFonts w:hint="eastAsia" w:ascii="Times New Roman" w:hAnsi="Times New Roman" w:cs="仿宋_GB2312"/>
          <w:caps w:val="0"/>
          <w:sz w:val="32"/>
          <w:szCs w:val="32"/>
          <w:lang w:eastAsia="zh-CN"/>
        </w:rPr>
        <w:t>—</w:t>
      </w:r>
      <w:r>
        <w:rPr>
          <w:rFonts w:hint="eastAsia" w:ascii="Times New Roman" w:hAnsi="Times New Roman" w:eastAsia="仿宋_GB2312" w:cs="仿宋_GB2312"/>
          <w:caps w:val="0"/>
          <w:sz w:val="32"/>
          <w:szCs w:val="32"/>
        </w:rPr>
        <w:t>蓝田”“港头-水口营”“塱头</w:t>
      </w:r>
      <w:r>
        <w:rPr>
          <w:rFonts w:hint="eastAsia" w:ascii="Times New Roman" w:hAnsi="Times New Roman" w:cs="仿宋_GB2312"/>
          <w:caps w:val="0"/>
          <w:sz w:val="32"/>
          <w:szCs w:val="32"/>
          <w:lang w:eastAsia="zh-CN"/>
        </w:rPr>
        <w:t>—</w:t>
      </w:r>
      <w:r>
        <w:rPr>
          <w:rFonts w:hint="eastAsia" w:ascii="Times New Roman" w:hAnsi="Times New Roman" w:eastAsia="仿宋_GB2312" w:cs="仿宋_GB2312"/>
          <w:caps w:val="0"/>
          <w:sz w:val="32"/>
          <w:szCs w:val="32"/>
        </w:rPr>
        <w:t>藏书院”“红山</w:t>
      </w:r>
      <w:r>
        <w:rPr>
          <w:rFonts w:hint="eastAsia" w:ascii="Times New Roman" w:hAnsi="Times New Roman" w:cs="仿宋_GB2312"/>
          <w:caps w:val="0"/>
          <w:sz w:val="32"/>
          <w:szCs w:val="32"/>
          <w:lang w:eastAsia="zh-CN"/>
        </w:rPr>
        <w:t>—</w:t>
      </w:r>
      <w:r>
        <w:rPr>
          <w:rFonts w:hint="eastAsia" w:ascii="Times New Roman" w:hAnsi="Times New Roman" w:eastAsia="仿宋_GB2312" w:cs="仿宋_GB2312"/>
          <w:caps w:val="0"/>
          <w:sz w:val="32"/>
          <w:szCs w:val="32"/>
        </w:rPr>
        <w:t>横坑”“洛场</w:t>
      </w:r>
      <w:r>
        <w:rPr>
          <w:rFonts w:hint="eastAsia" w:ascii="Times New Roman" w:hAnsi="Times New Roman" w:cs="仿宋_GB2312"/>
          <w:caps w:val="0"/>
          <w:sz w:val="32"/>
          <w:szCs w:val="32"/>
          <w:lang w:eastAsia="zh-CN"/>
        </w:rPr>
        <w:t>—</w:t>
      </w:r>
      <w:r>
        <w:rPr>
          <w:rFonts w:hint="eastAsia" w:ascii="Times New Roman" w:hAnsi="Times New Roman" w:eastAsia="仿宋_GB2312" w:cs="仿宋_GB2312"/>
          <w:caps w:val="0"/>
          <w:sz w:val="32"/>
          <w:szCs w:val="32"/>
        </w:rPr>
        <w:t>小布”“马岭</w:t>
      </w:r>
      <w:r>
        <w:rPr>
          <w:rFonts w:hint="eastAsia" w:ascii="Times New Roman" w:hAnsi="Times New Roman" w:cs="仿宋_GB2312"/>
          <w:caps w:val="0"/>
          <w:sz w:val="32"/>
          <w:szCs w:val="32"/>
          <w:lang w:eastAsia="zh-CN"/>
        </w:rPr>
        <w:t>—</w:t>
      </w:r>
      <w:r>
        <w:rPr>
          <w:rFonts w:hint="eastAsia" w:ascii="Times New Roman" w:hAnsi="Times New Roman" w:eastAsia="仿宋_GB2312" w:cs="仿宋_GB2312"/>
          <w:caps w:val="0"/>
          <w:sz w:val="32"/>
          <w:szCs w:val="32"/>
        </w:rPr>
        <w:t>联星”等重点片区，提升“干净整洁村”“美丽宜居村”“特色精品村”创建水平。重点围绕梯面、赤坭、狮岭、花东、花山、炭步等镇，连线连片创建生态美丽宜居乡村。重点打造梯面镇埔岭村、红山村、横坑村、西坑村美丽宜居连片示范乡村等</w:t>
      </w:r>
      <w:r>
        <w:rPr>
          <w:rFonts w:hint="default" w:ascii="Times New Roman" w:hAnsi="Times New Roman" w:eastAsia="仿宋_GB2312" w:cs="Times New Roman"/>
          <w:caps w:val="0"/>
          <w:sz w:val="32"/>
          <w:szCs w:val="32"/>
        </w:rPr>
        <w:t>8</w:t>
      </w:r>
      <w:r>
        <w:rPr>
          <w:rFonts w:hint="eastAsia" w:ascii="Times New Roman" w:hAnsi="Times New Roman" w:eastAsia="仿宋_GB2312" w:cs="仿宋_GB2312"/>
          <w:caps w:val="0"/>
          <w:sz w:val="32"/>
          <w:szCs w:val="32"/>
        </w:rPr>
        <w:t>个连片示范村建设，打造岭南特色生态宜居美丽乡村群。</w:t>
      </w:r>
      <w:bookmarkEnd w:id="150"/>
    </w:p>
    <w:p>
      <w:pPr>
        <w:pStyle w:val="4"/>
        <w:keepNext/>
        <w:keepLines/>
        <w:widowControl w:val="0"/>
        <w:wordWrap/>
        <w:adjustRightInd/>
        <w:snapToGrid/>
        <w:spacing w:beforeLines="50" w:afterLines="50" w:line="240" w:lineRule="auto"/>
        <w:ind w:firstLine="632" w:firstLineChars="200"/>
        <w:jc w:val="both"/>
        <w:textAlignment w:val="auto"/>
        <w:rPr>
          <w:rFonts w:ascii="Times New Roman" w:hAnsi="Times New Roman" w:eastAsia="宋体"/>
          <w:caps w:val="0"/>
          <w:sz w:val="32"/>
          <w:szCs w:val="32"/>
        </w:rPr>
      </w:pPr>
      <w:bookmarkStart w:id="156" w:name="_Toc88053865"/>
      <w:bookmarkStart w:id="157" w:name="_Toc362448492"/>
      <w:r>
        <w:rPr>
          <w:rFonts w:ascii="Times New Roman" w:hAnsi="Times New Roman" w:eastAsia="宋体"/>
          <w:b w:val="0"/>
          <w:bCs w:val="0"/>
          <w:caps w:val="0"/>
          <w:sz w:val="32"/>
          <w:szCs w:val="32"/>
        </w:rPr>
        <w:t>6.10</w:t>
      </w:r>
      <w:r>
        <w:rPr>
          <w:rFonts w:hint="eastAsia" w:ascii="Times New Roman" w:hAnsi="Times New Roman" w:eastAsia="楷体_GB2312" w:cs="楷体_GB2312"/>
          <w:b w:val="0"/>
          <w:bCs w:val="0"/>
          <w:caps w:val="0"/>
          <w:sz w:val="32"/>
          <w:szCs w:val="32"/>
        </w:rPr>
        <w:t>环境风险防控规划</w:t>
      </w:r>
      <w:bookmarkEnd w:id="156"/>
      <w:bookmarkEnd w:id="157"/>
    </w:p>
    <w:p>
      <w:pPr>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158" w:name="_Toc362448493"/>
      <w:bookmarkStart w:id="159" w:name="_Toc88053866"/>
      <w:r>
        <w:rPr>
          <w:rFonts w:ascii="Times New Roman" w:hAnsi="Times New Roman"/>
          <w:b/>
          <w:caps w:val="0"/>
          <w:sz w:val="32"/>
          <w:szCs w:val="32"/>
        </w:rPr>
        <w:t>6.10.1</w:t>
      </w:r>
      <w:bookmarkEnd w:id="158"/>
      <w:r>
        <w:rPr>
          <w:rFonts w:ascii="Times New Roman" w:hAnsi="Times New Roman"/>
          <w:b/>
          <w:caps w:val="0"/>
          <w:sz w:val="32"/>
          <w:szCs w:val="32"/>
        </w:rPr>
        <w:t>强化源头环境风险管控</w:t>
      </w:r>
      <w:bookmarkEnd w:id="159"/>
    </w:p>
    <w:p>
      <w:pPr>
        <w:widowControl/>
        <w:wordWrap/>
        <w:snapToGrid/>
        <w:spacing w:line="240" w:lineRule="auto"/>
        <w:ind w:firstLine="632" w:firstLineChars="200"/>
        <w:jc w:val="both"/>
        <w:textAlignment w:val="auto"/>
        <w:rPr>
          <w:rFonts w:ascii="Times New Roman" w:hAnsi="Times New Roman"/>
          <w:caps w:val="0"/>
          <w:sz w:val="32"/>
          <w:szCs w:val="32"/>
        </w:rPr>
      </w:pPr>
      <w:r>
        <w:rPr>
          <w:rFonts w:hint="eastAsia" w:ascii="Times New Roman" w:hAnsi="Times New Roman" w:eastAsia="仿宋_GB2312" w:cs="仿宋_GB2312"/>
          <w:caps w:val="0"/>
          <w:sz w:val="32"/>
          <w:szCs w:val="32"/>
        </w:rPr>
        <w:t>强化环境安全底线思维，将涉危废、涉重金属、涉化工等环境风险企业列为重点监管对象，探索引入专家排查安全隐患机制，开展环境风险隐患排查整治专项检查，建立隐患排查治理台账，推动企业建立环境风险隐患排查治理长效机制。督促和指导企业加强对环境风险源与应急资源数据库的应用，完成应急预案电子化备案，加强对预案编制、审备、演练等过程管理，定期开展预案质量和信息数据抽查，完善动态管理机制。通过示范企业的标杆作用，推进危险化学品企业“标准化”建设，提升企业安全管理</w:t>
      </w:r>
      <w:r>
        <w:rPr>
          <w:rFonts w:ascii="Times New Roman" w:hAnsi="Times New Roman"/>
          <w:caps w:val="0"/>
          <w:sz w:val="32"/>
          <w:szCs w:val="32"/>
        </w:rPr>
        <w:t>水平。全面压实企业主体责任，督促企业编制突发环境事件应急预案，完善环境安全例会和例检、风险排查管控及隐患治理等制度。以化工企业、危险化学品运输道路、流溪河流域、饮用水水源地为重点，系统开展环境风险评估与环境应急能力研究，加快建立全区环境风险差异化评估与动态更新机制，逐步健全环境风险分级分类管理体系。</w:t>
      </w:r>
    </w:p>
    <w:p>
      <w:pPr>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160" w:name="_Toc88053867"/>
      <w:r>
        <w:rPr>
          <w:rFonts w:ascii="Times New Roman" w:hAnsi="Times New Roman"/>
          <w:b/>
          <w:caps w:val="0"/>
          <w:sz w:val="32"/>
          <w:szCs w:val="32"/>
        </w:rPr>
        <w:t>6.10.2强化环境风险防范</w:t>
      </w:r>
      <w:bookmarkEnd w:id="160"/>
    </w:p>
    <w:p>
      <w:pPr>
        <w:widowControl/>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实施基于环境风险的产业准入策略。鼓励发展低环境风险的产业，限制中高环境风险的产业发展，禁止发展高于可接受风险水平的高环境风险行业，禁止引进技术含量不高、污染严重的高风险行业。</w:t>
      </w:r>
    </w:p>
    <w:p>
      <w:pPr>
        <w:widowControl/>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优化高风险行业发展布局。完善统一规划和用途管制要求，优化相关产业布局和城市商住用地规划。危险化学品储运企业、化工企业等高风险源布局要远离居民区等敏感受体，集中布局。</w:t>
      </w:r>
    </w:p>
    <w:p>
      <w:pPr>
        <w:widowControl/>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积极开展风险防范，实施风险源搬迁、受体搬迁或风险源与受体间加建隔离体（防护带）。强化燃气管道、生活垃圾焚烧处置设施等基础设施风险源科学选址和环境事故风险预防。</w:t>
      </w:r>
    </w:p>
    <w:p>
      <w:pPr>
        <w:widowControl/>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以水环境风险较高的企业为重点，推进事故排水收集截留设施等建设。加强饮用水水源地和环境风险较高、事故频发区域有毒有害污染物、持久性有机污染物自动监测和预警体系建设。</w:t>
      </w:r>
    </w:p>
    <w:p>
      <w:pPr>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161" w:name="_Toc88053868"/>
      <w:r>
        <w:rPr>
          <w:rFonts w:ascii="Times New Roman" w:hAnsi="Times New Roman"/>
          <w:b/>
          <w:caps w:val="0"/>
          <w:sz w:val="32"/>
          <w:szCs w:val="32"/>
        </w:rPr>
        <w:t>6.10.3提高环境风险管控水平</w:t>
      </w:r>
      <w:bookmarkEnd w:id="161"/>
    </w:p>
    <w:p>
      <w:pPr>
        <w:widowControl/>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提高危险化学品管理水平。推进应急、生态环境主管部门协同监管，完善环境风险数据动态更新和共享机制。全面掌握高环境风险产业园区、聚集区和商住用地规划的空间利用状况，实现环境风险双向防控。强化危化品仓储经营单位管理，加强对中石化广东广州石油分公司花都油库的日常监管，督促落实各项风险防控措施。完善涉危化品企业环境风险评估，严格项目环评审批和日常督查。</w:t>
      </w:r>
    </w:p>
    <w:p>
      <w:pPr>
        <w:widowControl/>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严格环境风险预警预案管理。鼓励有条件的工业园区、聚集区开展预警体系建设。科学有序高效应对突发环境事件。</w:t>
      </w:r>
      <w:r>
        <w:rPr>
          <w:rFonts w:hint="eastAsia" w:ascii="Times New Roman" w:hAnsi="Times New Roman"/>
          <w:caps w:val="0"/>
          <w:sz w:val="32"/>
          <w:szCs w:val="32"/>
        </w:rPr>
        <w:t>加强</w:t>
      </w:r>
      <w:r>
        <w:rPr>
          <w:rFonts w:ascii="Times New Roman" w:hAnsi="Times New Roman"/>
          <w:caps w:val="0"/>
          <w:sz w:val="32"/>
          <w:szCs w:val="32"/>
        </w:rPr>
        <w:t>区、镇街应急预案或方案的编制</w:t>
      </w:r>
      <w:r>
        <w:rPr>
          <w:rFonts w:hint="eastAsia" w:ascii="Times New Roman" w:hAnsi="Times New Roman"/>
          <w:caps w:val="0"/>
          <w:sz w:val="32"/>
          <w:szCs w:val="32"/>
        </w:rPr>
        <w:t>工作</w:t>
      </w:r>
      <w:r>
        <w:rPr>
          <w:rFonts w:ascii="Times New Roman" w:hAnsi="Times New Roman"/>
          <w:caps w:val="0"/>
          <w:sz w:val="32"/>
          <w:szCs w:val="32"/>
        </w:rPr>
        <w:t>，</w:t>
      </w:r>
      <w:r>
        <w:rPr>
          <w:rFonts w:hint="eastAsia" w:ascii="Times New Roman" w:hAnsi="Times New Roman"/>
          <w:caps w:val="0"/>
          <w:sz w:val="32"/>
          <w:szCs w:val="32"/>
        </w:rPr>
        <w:t>修订完善</w:t>
      </w:r>
      <w:r>
        <w:rPr>
          <w:rFonts w:ascii="Times New Roman" w:hAnsi="Times New Roman"/>
          <w:caps w:val="0"/>
          <w:sz w:val="32"/>
          <w:szCs w:val="32"/>
        </w:rPr>
        <w:t>饮用水</w:t>
      </w:r>
      <w:r>
        <w:rPr>
          <w:rFonts w:hint="eastAsia" w:ascii="Times New Roman" w:hAnsi="Times New Roman"/>
          <w:caps w:val="0"/>
          <w:sz w:val="32"/>
          <w:szCs w:val="32"/>
        </w:rPr>
        <w:t>水</w:t>
      </w:r>
      <w:r>
        <w:rPr>
          <w:rFonts w:ascii="Times New Roman" w:hAnsi="Times New Roman"/>
          <w:caps w:val="0"/>
          <w:sz w:val="32"/>
          <w:szCs w:val="32"/>
        </w:rPr>
        <w:t>源地等环境风险和应急处置预案，推进环境应急与安全生产、消防安全预案一体化管理，重点加强涉危化品、涉重、危险废物处理处置、污水处理和垃圾填埋等行业环境突发事件应急预案备案管理。</w:t>
      </w:r>
    </w:p>
    <w:p>
      <w:pPr>
        <w:widowControl/>
        <w:wordWrap/>
        <w:snapToGrid/>
        <w:spacing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健全提升应急管理体系和能力。充分利用大数据、互联网+、物联网、云计算和5G信息技术等先进科技手段，推进环境应急管理领域物联网应用建设，全面提升区环境应急管理的智能化水平。加强环境应急物资储备，积极推进花都区环境应急物资器材库及附属站点建设，提高区域应急保障能力。开展环境应急培训和演练，制定和完善各类应急预案操作手册，提高环境风险防范和应急处置能力。</w:t>
      </w:r>
    </w:p>
    <w:p>
      <w:pPr>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162" w:name="_Toc88053869"/>
      <w:r>
        <w:rPr>
          <w:rFonts w:ascii="Times New Roman" w:hAnsi="Times New Roman"/>
          <w:b/>
          <w:caps w:val="0"/>
          <w:sz w:val="32"/>
          <w:szCs w:val="32"/>
        </w:rPr>
        <w:t>6.10.4保障核与辐射安全</w:t>
      </w:r>
      <w:bookmarkEnd w:id="162"/>
    </w:p>
    <w:p>
      <w:pPr>
        <w:widowControl/>
        <w:wordWrap/>
        <w:snapToGrid/>
        <w:spacing w:line="240" w:lineRule="auto"/>
        <w:ind w:firstLine="632" w:firstLineChars="200"/>
        <w:jc w:val="both"/>
        <w:textAlignment w:val="auto"/>
        <w:rPr>
          <w:rFonts w:hint="eastAsia" w:ascii="Times New Roman" w:hAnsi="Times New Roman" w:eastAsia="仿宋_GB2312" w:cs="仿宋_GB2312"/>
          <w:caps w:val="0"/>
          <w:sz w:val="32"/>
          <w:szCs w:val="32"/>
        </w:rPr>
      </w:pPr>
      <w:r>
        <w:rPr>
          <w:rFonts w:ascii="Times New Roman" w:hAnsi="Times New Roman"/>
          <w:caps w:val="0"/>
          <w:sz w:val="32"/>
          <w:szCs w:val="32"/>
        </w:rPr>
        <w:t>积极配合上级生态环境主管部门加强核安全监督管理工作，严厉打击并查处违反放射性污染防治相关法律法规的行为。继续加</w:t>
      </w:r>
      <w:r>
        <w:rPr>
          <w:rFonts w:hint="eastAsia"/>
          <w:caps w:val="0"/>
          <w:sz w:val="32"/>
          <w:szCs w:val="32"/>
          <w:lang w:eastAsia="zh-CN"/>
        </w:rPr>
        <w:t>大</w:t>
      </w:r>
      <w:r>
        <w:rPr>
          <w:rFonts w:ascii="Times New Roman" w:hAnsi="Times New Roman"/>
          <w:caps w:val="0"/>
          <w:sz w:val="32"/>
          <w:szCs w:val="32"/>
        </w:rPr>
        <w:t>对放射源和射线装置的申报登记和许可证管理的力度。规范核技术利用项目的管理，结合项目审批和日常监管动态更新工作，完善放射源和射线装置数据库，保持放射源建档率100％，放射性废源、废物收贮率100%。</w:t>
      </w:r>
      <w:r>
        <w:rPr>
          <w:rFonts w:hint="eastAsia" w:ascii="Times New Roman" w:hAnsi="Times New Roman" w:eastAsia="仿宋_GB2312" w:cs="仿宋_GB2312"/>
          <w:caps w:val="0"/>
          <w:sz w:val="32"/>
          <w:szCs w:val="32"/>
        </w:rPr>
        <w:t>强化对放射性废物的全过程监管，严格按照《城市放射性废物管理办法》的规定，协助省</w:t>
      </w:r>
      <w:r>
        <w:rPr>
          <w:rFonts w:hint="eastAsia" w:ascii="Times New Roman" w:hAnsi="Times New Roman" w:cs="仿宋_GB2312"/>
          <w:caps w:val="0"/>
          <w:sz w:val="32"/>
          <w:szCs w:val="32"/>
          <w:lang w:eastAsia="zh-CN"/>
        </w:rPr>
        <w:t>、</w:t>
      </w:r>
      <w:r>
        <w:rPr>
          <w:rFonts w:hint="eastAsia" w:ascii="Times New Roman" w:hAnsi="Times New Roman" w:eastAsia="仿宋_GB2312" w:cs="仿宋_GB2312"/>
          <w:caps w:val="0"/>
          <w:sz w:val="32"/>
          <w:szCs w:val="32"/>
        </w:rPr>
        <w:t>市主管部门对放射性废物进行统筹管理。</w:t>
      </w:r>
    </w:p>
    <w:p>
      <w:pPr>
        <w:widowControl/>
        <w:wordWrap/>
        <w:snapToGrid/>
        <w:spacing w:line="240" w:lineRule="auto"/>
        <w:ind w:firstLine="632" w:firstLineChars="200"/>
        <w:jc w:val="both"/>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加强对电磁辐射污染的动态管理，在电磁辐射污染源普查的基础上，按照种类和行业类别</w:t>
      </w:r>
      <w:r>
        <w:rPr>
          <w:rFonts w:hint="eastAsia" w:ascii="Times New Roman" w:hAnsi="Times New Roman" w:eastAsia="仿宋_GB2312" w:cs="仿宋_GB2312"/>
          <w:caps w:val="0"/>
          <w:sz w:val="32"/>
          <w:szCs w:val="32"/>
          <w:lang w:eastAsia="zh-CN"/>
        </w:rPr>
        <w:t>，</w:t>
      </w:r>
      <w:r>
        <w:rPr>
          <w:rFonts w:hint="eastAsia" w:ascii="Times New Roman" w:hAnsi="Times New Roman" w:eastAsia="仿宋_GB2312" w:cs="仿宋_GB2312"/>
          <w:caps w:val="0"/>
          <w:sz w:val="32"/>
          <w:szCs w:val="32"/>
        </w:rPr>
        <w:t>对现有污染源的运行功率、频率分布、数量和所处位置进行分类建档,建立全区电磁辐射污染源动态档案。</w:t>
      </w:r>
    </w:p>
    <w:p>
      <w:pPr>
        <w:keepNext/>
        <w:keepLines/>
        <w:widowControl w:val="0"/>
        <w:wordWrap/>
        <w:adjustRightInd/>
        <w:snapToGrid/>
        <w:spacing w:beforeLines="50" w:afterLines="50" w:line="240" w:lineRule="auto"/>
        <w:ind w:firstLine="632" w:firstLineChars="200"/>
        <w:jc w:val="both"/>
        <w:textAlignment w:val="auto"/>
        <w:outlineLvl w:val="1"/>
        <w:rPr>
          <w:rFonts w:ascii="Times New Roman" w:hAnsi="Times New Roman"/>
          <w:b w:val="0"/>
          <w:bCs w:val="0"/>
          <w:caps w:val="0"/>
          <w:sz w:val="32"/>
          <w:szCs w:val="32"/>
        </w:rPr>
      </w:pPr>
      <w:bookmarkStart w:id="163" w:name="_Toc73625645"/>
      <w:bookmarkStart w:id="164" w:name="_Toc88053870"/>
      <w:bookmarkStart w:id="165" w:name="_Toc361927592"/>
      <w:r>
        <w:rPr>
          <w:rFonts w:ascii="Times New Roman" w:hAnsi="Times New Roman"/>
          <w:b w:val="0"/>
          <w:bCs w:val="0"/>
          <w:caps w:val="0"/>
          <w:sz w:val="32"/>
          <w:szCs w:val="32"/>
        </w:rPr>
        <w:t>6.11</w:t>
      </w:r>
      <w:r>
        <w:rPr>
          <w:rFonts w:hint="eastAsia" w:ascii="Times New Roman" w:hAnsi="Times New Roman" w:eastAsia="楷体_GB2312" w:cs="楷体_GB2312"/>
          <w:b w:val="0"/>
          <w:bCs w:val="0"/>
          <w:caps w:val="0"/>
          <w:sz w:val="32"/>
          <w:szCs w:val="32"/>
        </w:rPr>
        <w:t>环境治理体系建设规划</w:t>
      </w:r>
      <w:bookmarkEnd w:id="163"/>
      <w:bookmarkEnd w:id="164"/>
    </w:p>
    <w:p>
      <w:pPr>
        <w:wordWrap/>
        <w:adjustRightInd w:val="0"/>
        <w:snapToGrid/>
        <w:spacing w:line="240" w:lineRule="auto"/>
        <w:ind w:firstLine="632" w:firstLineChars="200"/>
        <w:jc w:val="both"/>
        <w:textAlignment w:val="auto"/>
        <w:outlineLvl w:val="2"/>
        <w:rPr>
          <w:rFonts w:hint="eastAsia" w:ascii="Times New Roman" w:hAnsi="Times New Roman" w:eastAsia="仿宋_GB2312" w:cs="仿宋_GB2312"/>
          <w:b/>
          <w:caps w:val="0"/>
          <w:sz w:val="32"/>
          <w:szCs w:val="32"/>
        </w:rPr>
      </w:pPr>
      <w:bookmarkStart w:id="166" w:name="_Toc88053871"/>
      <w:r>
        <w:rPr>
          <w:rFonts w:ascii="Times New Roman" w:hAnsi="Times New Roman"/>
          <w:b/>
          <w:caps w:val="0"/>
          <w:sz w:val="32"/>
          <w:szCs w:val="32"/>
        </w:rPr>
        <w:t>6.11.1</w:t>
      </w:r>
      <w:r>
        <w:rPr>
          <w:rFonts w:hint="eastAsia" w:ascii="Times New Roman" w:hAnsi="Times New Roman" w:eastAsia="仿宋_GB2312" w:cs="仿宋_GB2312"/>
          <w:b/>
          <w:caps w:val="0"/>
          <w:sz w:val="32"/>
          <w:szCs w:val="32"/>
        </w:rPr>
        <w:t>健全环境治理领导责任体系</w:t>
      </w:r>
      <w:bookmarkEnd w:id="166"/>
    </w:p>
    <w:p>
      <w:pPr>
        <w:wordWrap/>
        <w:snapToGrid/>
        <w:spacing w:line="240" w:lineRule="auto"/>
        <w:ind w:firstLine="632" w:firstLineChars="200"/>
        <w:jc w:val="both"/>
        <w:textAlignment w:val="auto"/>
        <w:rPr>
          <w:rFonts w:ascii="Times New Roman" w:hAnsi="Times New Roman"/>
          <w:bCs/>
          <w:caps w:val="0"/>
          <w:sz w:val="32"/>
          <w:szCs w:val="32"/>
        </w:rPr>
      </w:pPr>
      <w:r>
        <w:rPr>
          <w:rFonts w:hint="eastAsia" w:ascii="Times New Roman" w:hAnsi="Times New Roman" w:eastAsia="仿宋_GB2312" w:cs="仿宋_GB2312"/>
          <w:b/>
          <w:bCs/>
          <w:caps w:val="0"/>
          <w:sz w:val="32"/>
          <w:szCs w:val="32"/>
        </w:rPr>
        <w:t>落实党政主体责任。</w:t>
      </w:r>
      <w:r>
        <w:rPr>
          <w:rFonts w:hint="eastAsia" w:ascii="Times New Roman" w:hAnsi="Times New Roman" w:eastAsia="仿宋_GB2312" w:cs="仿宋_GB2312"/>
          <w:bCs/>
          <w:caps w:val="0"/>
          <w:sz w:val="32"/>
          <w:szCs w:val="32"/>
        </w:rPr>
        <w:t>依托区生态环境保护委员会，全面落实生态环境保护工作党政同责、一岗双责，各级党委和政府对本行政区域的生态环境保护工作及生态环境质量负总责。各级各部门严格落实“管发展必须管环保”“管行业必须管环保”“管生产必须管环保”工作要求，履行好《广州市生态环境保护工作责任规定》及配套责任清单，各司其职、各负其责、密切配合，积极主动抓好生态环境保护工作，形成齐抓共管的工作格局。强化镇（街）</w:t>
      </w:r>
      <w:r>
        <w:rPr>
          <w:rFonts w:ascii="Times New Roman" w:hAnsi="Times New Roman"/>
          <w:bCs/>
          <w:caps w:val="0"/>
          <w:sz w:val="32"/>
          <w:szCs w:val="32"/>
        </w:rPr>
        <w:t>属地管理，明确承担生态环境保护责任的机构和人员，实施网格化管理。加大干部选拔任用和监督管理力度，打造生态环境保护铁军。落实河长制湖长制工作体系，深入推行林长制。优化生态环境保护综合决策机制，提高生态环境保护参与政府综合决策的能力。</w:t>
      </w:r>
      <w:bookmarkStart w:id="167" w:name="_Hlk73727658"/>
      <w:r>
        <w:rPr>
          <w:rFonts w:ascii="Times New Roman" w:hAnsi="Times New Roman"/>
          <w:bCs/>
          <w:caps w:val="0"/>
          <w:sz w:val="32"/>
          <w:szCs w:val="32"/>
        </w:rPr>
        <w:t>不定期组织召开生态环境形势分析会，开展生态环境质量趋势研判，为生态环境综合决策提供重要支撑。</w:t>
      </w:r>
      <w:bookmarkEnd w:id="167"/>
    </w:p>
    <w:p>
      <w:pPr>
        <w:wordWrap/>
        <w:snapToGrid/>
        <w:spacing w:line="240" w:lineRule="auto"/>
        <w:ind w:firstLine="632" w:firstLineChars="200"/>
        <w:jc w:val="both"/>
        <w:textAlignment w:val="auto"/>
        <w:rPr>
          <w:rFonts w:hint="eastAsia" w:ascii="Times New Roman" w:hAnsi="Times New Roman" w:eastAsia="仿宋_GB2312" w:cs="仿宋_GB2312"/>
          <w:bCs/>
          <w:caps w:val="0"/>
          <w:sz w:val="32"/>
          <w:szCs w:val="32"/>
        </w:rPr>
      </w:pPr>
      <w:r>
        <w:rPr>
          <w:rFonts w:hint="eastAsia" w:ascii="Times New Roman" w:hAnsi="Times New Roman" w:eastAsia="仿宋_GB2312" w:cs="仿宋_GB2312"/>
          <w:b/>
          <w:bCs/>
          <w:caps w:val="0"/>
          <w:sz w:val="32"/>
          <w:szCs w:val="32"/>
        </w:rPr>
        <w:t>强化目标评价考核和责任追究。</w:t>
      </w:r>
      <w:r>
        <w:rPr>
          <w:rFonts w:hint="eastAsia" w:ascii="Times New Roman" w:hAnsi="Times New Roman" w:eastAsia="仿宋_GB2312" w:cs="仿宋_GB2312"/>
          <w:bCs/>
          <w:caps w:val="0"/>
          <w:sz w:val="32"/>
          <w:szCs w:val="32"/>
        </w:rPr>
        <w:t>严格执行《广州市花都区环境保护目标责任考核办法》，以生态环境质量改善为核心，合理设定约束性和预期性目标，完善生态环境保护目标体系，将生态环境保护主要指标纳入高质量发展考核指标体系。加大应对气候变化工作考核力度。将生态环境保护目标责任考核结果、生态环境保护督察结果、领导干部自然资源资产离任审计结果作为领导班子和领导干部综合考核评价、选拔任用、管理监督的重要依据。实行生态环境损害责任终身追究制。</w:t>
      </w:r>
    </w:p>
    <w:p>
      <w:pPr>
        <w:wordWrap/>
        <w:snapToGrid/>
        <w:spacing w:line="240" w:lineRule="auto"/>
        <w:ind w:firstLine="632" w:firstLineChars="200"/>
        <w:jc w:val="both"/>
        <w:textAlignment w:val="auto"/>
        <w:rPr>
          <w:rFonts w:hint="eastAsia" w:ascii="Times New Roman" w:hAnsi="Times New Roman" w:eastAsia="仿宋_GB2312" w:cs="仿宋_GB2312"/>
          <w:bCs/>
          <w:caps w:val="0"/>
          <w:sz w:val="32"/>
          <w:szCs w:val="32"/>
        </w:rPr>
      </w:pPr>
      <w:r>
        <w:rPr>
          <w:rFonts w:hint="eastAsia" w:ascii="Times New Roman" w:hAnsi="Times New Roman" w:eastAsia="仿宋_GB2312" w:cs="仿宋_GB2312"/>
          <w:b/>
          <w:bCs/>
          <w:caps w:val="0"/>
          <w:sz w:val="32"/>
          <w:szCs w:val="32"/>
        </w:rPr>
        <w:t>落实生态环保督察要求。</w:t>
      </w:r>
      <w:r>
        <w:rPr>
          <w:rFonts w:hint="eastAsia" w:ascii="Times New Roman" w:hAnsi="Times New Roman" w:eastAsia="仿宋_GB2312" w:cs="仿宋_GB2312"/>
          <w:bCs/>
          <w:caps w:val="0"/>
          <w:sz w:val="32"/>
          <w:szCs w:val="32"/>
        </w:rPr>
        <w:t>对现阶段突出环境问题组织开展再查再纠。加强部门协调，深化落实排查、交办、核查、约谈等，高效推进督察整改。建立“曝光—整改—回应”为一体的舆论工作模式，充分发挥公众和新闻媒体等社会力量监督督察整改工作。优化调整环保督察整改的方式、方法、手段。科学合理制定迎检工作方案。</w:t>
      </w:r>
    </w:p>
    <w:p>
      <w:pPr>
        <w:wordWrap/>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
          <w:bCs/>
          <w:caps w:val="0"/>
          <w:sz w:val="32"/>
          <w:szCs w:val="32"/>
        </w:rPr>
        <w:t>持续提升环境竞争力。</w:t>
      </w:r>
      <w:r>
        <w:rPr>
          <w:rFonts w:ascii="Times New Roman" w:hAnsi="Times New Roman"/>
          <w:bCs/>
          <w:caps w:val="0"/>
          <w:sz w:val="32"/>
          <w:szCs w:val="32"/>
        </w:rPr>
        <w:t>建立健全统筹全区环境治理和提升环境竞争力的领导协调机制，制定全面提升花都环境竞争力实施方案，针对薄弱落后项目制定专项整治工作方案，明确工作分工和问题、责任、整治清单，压紧压实各部门、各</w:t>
      </w:r>
      <w:r>
        <w:rPr>
          <w:rFonts w:hint="eastAsia"/>
          <w:bCs/>
          <w:caps w:val="0"/>
          <w:sz w:val="32"/>
          <w:szCs w:val="32"/>
          <w:lang w:eastAsia="zh-CN"/>
        </w:rPr>
        <w:t>镇（街）</w:t>
      </w:r>
      <w:r>
        <w:rPr>
          <w:rFonts w:ascii="Times New Roman" w:hAnsi="Times New Roman"/>
          <w:bCs/>
          <w:caps w:val="0"/>
          <w:sz w:val="32"/>
          <w:szCs w:val="32"/>
        </w:rPr>
        <w:t>责任。</w:t>
      </w:r>
    </w:p>
    <w:p>
      <w:pPr>
        <w:wordWrap/>
        <w:adjustRightInd w:val="0"/>
        <w:snapToGrid/>
        <w:spacing w:line="240" w:lineRule="auto"/>
        <w:ind w:firstLine="632" w:firstLineChars="200"/>
        <w:jc w:val="both"/>
        <w:textAlignment w:val="auto"/>
        <w:outlineLvl w:val="2"/>
        <w:rPr>
          <w:rFonts w:hint="eastAsia" w:ascii="Times New Roman" w:hAnsi="Times New Roman" w:eastAsia="仿宋_GB2312" w:cs="仿宋_GB2312"/>
          <w:b/>
          <w:caps w:val="0"/>
          <w:sz w:val="32"/>
          <w:szCs w:val="32"/>
        </w:rPr>
      </w:pPr>
      <w:bookmarkStart w:id="168" w:name="_Toc88053872"/>
      <w:r>
        <w:rPr>
          <w:rFonts w:ascii="Times New Roman" w:hAnsi="Times New Roman"/>
          <w:b/>
          <w:caps w:val="0"/>
          <w:sz w:val="32"/>
          <w:szCs w:val="32"/>
        </w:rPr>
        <w:t>6.11.2</w:t>
      </w:r>
      <w:r>
        <w:rPr>
          <w:rFonts w:hint="eastAsia" w:ascii="Times New Roman" w:hAnsi="Times New Roman" w:eastAsia="仿宋_GB2312" w:cs="仿宋_GB2312"/>
          <w:b/>
          <w:caps w:val="0"/>
          <w:sz w:val="32"/>
          <w:szCs w:val="32"/>
        </w:rPr>
        <w:t>健全环境治理法规政策体系</w:t>
      </w:r>
      <w:bookmarkEnd w:id="168"/>
    </w:p>
    <w:p>
      <w:pPr>
        <w:wordWrap/>
        <w:snapToGrid/>
        <w:spacing w:line="240" w:lineRule="auto"/>
        <w:ind w:firstLine="632" w:firstLineChars="200"/>
        <w:jc w:val="both"/>
        <w:textAlignment w:val="auto"/>
        <w:rPr>
          <w:rFonts w:hint="eastAsia" w:ascii="Times New Roman" w:hAnsi="Times New Roman" w:eastAsia="仿宋_GB2312" w:cs="仿宋_GB2312"/>
          <w:bCs/>
          <w:caps w:val="0"/>
          <w:sz w:val="32"/>
          <w:szCs w:val="32"/>
        </w:rPr>
      </w:pPr>
      <w:r>
        <w:rPr>
          <w:rFonts w:hint="eastAsia" w:ascii="Times New Roman" w:hAnsi="Times New Roman" w:eastAsia="仿宋_GB2312" w:cs="仿宋_GB2312"/>
          <w:b/>
          <w:bCs/>
          <w:caps w:val="0"/>
          <w:sz w:val="32"/>
          <w:szCs w:val="32"/>
        </w:rPr>
        <w:t>落实系统严格的生态环境法治体系。</w:t>
      </w:r>
      <w:r>
        <w:rPr>
          <w:rFonts w:hint="eastAsia" w:ascii="Times New Roman" w:hAnsi="Times New Roman" w:eastAsia="仿宋_GB2312" w:cs="仿宋_GB2312"/>
          <w:bCs/>
          <w:caps w:val="0"/>
          <w:sz w:val="32"/>
          <w:szCs w:val="32"/>
        </w:rPr>
        <w:t>严格执行执法“三项制度”。强化生态环境保护综合行政执法和司法协作，加大协同执法力度。严格查处生态环境违法行为，依法采取行政强制措施，提高行政处罚效率。健全企业严惩重罚制度，强化刑事责任追究。对内坚持领导干部带头尊法学法守法用法，对外面向社会公众开展环境法治宣传教育。建立执法、管理、服务过程中的普法机制，推进“送法上门”的普法工作，完善以案释法工作机制。</w:t>
      </w:r>
    </w:p>
    <w:p>
      <w:pPr>
        <w:wordWrap/>
        <w:snapToGrid/>
        <w:spacing w:line="240" w:lineRule="auto"/>
        <w:ind w:firstLine="632" w:firstLineChars="200"/>
        <w:jc w:val="both"/>
        <w:textAlignment w:val="auto"/>
        <w:rPr>
          <w:rFonts w:hint="eastAsia" w:ascii="Times New Roman" w:hAnsi="Times New Roman" w:eastAsia="仿宋_GB2312" w:cs="仿宋_GB2312"/>
          <w:bCs/>
          <w:caps w:val="0"/>
          <w:sz w:val="32"/>
          <w:szCs w:val="32"/>
        </w:rPr>
      </w:pPr>
      <w:bookmarkStart w:id="169" w:name="_Hlk73695824"/>
      <w:r>
        <w:rPr>
          <w:rFonts w:hint="eastAsia" w:ascii="Times New Roman" w:hAnsi="Times New Roman" w:eastAsia="仿宋_GB2312" w:cs="仿宋_GB2312"/>
          <w:b/>
          <w:bCs/>
          <w:caps w:val="0"/>
          <w:sz w:val="32"/>
          <w:szCs w:val="32"/>
        </w:rPr>
        <w:t>完善生态环境公益诉讼制度，推行生态环境损害赔偿。</w:t>
      </w:r>
      <w:r>
        <w:rPr>
          <w:rFonts w:hint="eastAsia" w:ascii="Times New Roman" w:hAnsi="Times New Roman" w:eastAsia="仿宋_GB2312" w:cs="仿宋_GB2312"/>
          <w:bCs/>
          <w:caps w:val="0"/>
          <w:sz w:val="32"/>
          <w:szCs w:val="32"/>
        </w:rPr>
        <w:t>加强部门协调联动，形成工作合力，推进生态环境损害赔偿线索筛查、磋商、诉讼等工作，落实生态损害赔偿诉前磋商机制，推进生态环境损害赔偿工作常态化。加强生态环境修复与损害赔偿执行的监督。加强生态环境损害赔偿资金管理。推动生态环境损害赔偿与环境公益诉讼案件信息共享。加大生态环境损害赔偿制度宣传力度，强化“环境有价，损害必偿”理念，依法公开生态环境损害调查、鉴定评估、赔偿、诉讼裁判文书、生态环境修复效果报告等信息，曝光生态环境损害违法行为，鼓励赔偿义务人积极担责。</w:t>
      </w:r>
      <w:bookmarkEnd w:id="169"/>
    </w:p>
    <w:p>
      <w:pPr>
        <w:wordWrap/>
        <w:snapToGrid/>
        <w:spacing w:line="240" w:lineRule="auto"/>
        <w:ind w:firstLine="632" w:firstLineChars="200"/>
        <w:jc w:val="both"/>
        <w:textAlignment w:val="auto"/>
        <w:rPr>
          <w:rFonts w:ascii="Times New Roman" w:hAnsi="Times New Roman"/>
          <w:bCs/>
          <w:caps w:val="0"/>
          <w:sz w:val="32"/>
          <w:szCs w:val="32"/>
        </w:rPr>
      </w:pPr>
      <w:r>
        <w:rPr>
          <w:rFonts w:hint="eastAsia" w:ascii="Times New Roman" w:hAnsi="Times New Roman" w:eastAsia="仿宋_GB2312" w:cs="仿宋_GB2312"/>
          <w:b/>
          <w:bCs/>
          <w:caps w:val="0"/>
          <w:sz w:val="32"/>
          <w:szCs w:val="32"/>
        </w:rPr>
        <w:t>严格生态环境空间管控。</w:t>
      </w:r>
      <w:r>
        <w:rPr>
          <w:rFonts w:hint="eastAsia" w:ascii="Times New Roman" w:hAnsi="Times New Roman" w:eastAsia="仿宋_GB2312" w:cs="仿宋_GB2312"/>
          <w:bCs/>
          <w:caps w:val="0"/>
          <w:sz w:val="32"/>
          <w:szCs w:val="32"/>
        </w:rPr>
        <w:t>构建“多规合一”国土空间规划体系，运用于项目策划、联合会审、联审决策等。推动“三线一单”成果应用，建立生态保护红线、自然保护地监管体系。将“三线一单”作为深化环评“放管服”改革的重要基础和抓手，优化区域规划环评宏观指导，简化建设项目环评管理，有效衔接排污许可与事中事后监管。</w:t>
      </w:r>
    </w:p>
    <w:p>
      <w:pPr>
        <w:wordWrap/>
        <w:snapToGrid/>
        <w:spacing w:line="240" w:lineRule="auto"/>
        <w:ind w:firstLine="632" w:firstLineChars="200"/>
        <w:jc w:val="both"/>
        <w:textAlignment w:val="auto"/>
        <w:rPr>
          <w:rFonts w:hint="eastAsia" w:ascii="Times New Roman" w:hAnsi="Times New Roman" w:eastAsia="仿宋_GB2312" w:cs="仿宋_GB2312"/>
          <w:bCs/>
          <w:caps w:val="0"/>
          <w:sz w:val="32"/>
          <w:szCs w:val="32"/>
        </w:rPr>
      </w:pPr>
      <w:r>
        <w:rPr>
          <w:rFonts w:hint="eastAsia" w:ascii="Times New Roman" w:hAnsi="Times New Roman" w:eastAsia="仿宋_GB2312" w:cs="仿宋_GB2312"/>
          <w:b/>
          <w:bCs/>
          <w:caps w:val="0"/>
          <w:sz w:val="32"/>
          <w:szCs w:val="32"/>
        </w:rPr>
        <w:t>实施环评制度改革。</w:t>
      </w:r>
      <w:r>
        <w:rPr>
          <w:rFonts w:hint="eastAsia" w:ascii="Times New Roman" w:hAnsi="Times New Roman" w:eastAsia="仿宋_GB2312" w:cs="仿宋_GB2312"/>
          <w:bCs/>
          <w:caps w:val="0"/>
          <w:sz w:val="32"/>
          <w:szCs w:val="32"/>
        </w:rPr>
        <w:t>贯彻落实环评制度“放管服”，实施环评豁免和告知承诺制，落实环评审批“正面清单”制度。健全完善以环境影响评价制度为主体的源头预防体系，加强“三线一单”、区域规划环评宏观指导，推进建设项目环评分级分类管理。强化对环评文件编制单位、编制人员和环评专家的监督管理，加强环评文件常态化复核。</w:t>
      </w:r>
    </w:p>
    <w:p>
      <w:pPr>
        <w:wordWrap/>
        <w:adjustRightInd w:val="0"/>
        <w:snapToGrid/>
        <w:spacing w:line="240" w:lineRule="auto"/>
        <w:ind w:firstLine="632" w:firstLineChars="200"/>
        <w:jc w:val="both"/>
        <w:textAlignment w:val="auto"/>
        <w:outlineLvl w:val="2"/>
        <w:rPr>
          <w:rFonts w:hint="eastAsia" w:ascii="Times New Roman" w:hAnsi="Times New Roman" w:eastAsia="仿宋_GB2312" w:cs="仿宋_GB2312"/>
          <w:b/>
          <w:caps w:val="0"/>
          <w:sz w:val="32"/>
          <w:szCs w:val="32"/>
        </w:rPr>
      </w:pPr>
      <w:bookmarkStart w:id="170" w:name="_Toc88053873"/>
      <w:r>
        <w:rPr>
          <w:rFonts w:ascii="Times New Roman" w:hAnsi="Times New Roman"/>
          <w:b/>
          <w:caps w:val="0"/>
          <w:sz w:val="32"/>
          <w:szCs w:val="32"/>
        </w:rPr>
        <w:t>6.11.3</w:t>
      </w:r>
      <w:r>
        <w:rPr>
          <w:rFonts w:hint="eastAsia" w:ascii="Times New Roman" w:hAnsi="Times New Roman" w:eastAsia="仿宋_GB2312" w:cs="仿宋_GB2312"/>
          <w:b/>
          <w:caps w:val="0"/>
          <w:sz w:val="32"/>
          <w:szCs w:val="32"/>
        </w:rPr>
        <w:t>健全环境治理企业责任体系</w:t>
      </w:r>
      <w:bookmarkEnd w:id="170"/>
    </w:p>
    <w:p>
      <w:pPr>
        <w:wordWrap/>
        <w:snapToGrid/>
        <w:spacing w:line="240" w:lineRule="auto"/>
        <w:ind w:firstLine="632" w:firstLineChars="200"/>
        <w:jc w:val="both"/>
        <w:textAlignment w:val="auto"/>
        <w:rPr>
          <w:rFonts w:hint="eastAsia" w:ascii="Times New Roman" w:hAnsi="Times New Roman" w:eastAsia="仿宋_GB2312" w:cs="仿宋_GB2312"/>
          <w:bCs/>
          <w:caps w:val="0"/>
          <w:sz w:val="32"/>
          <w:szCs w:val="32"/>
        </w:rPr>
      </w:pPr>
      <w:r>
        <w:rPr>
          <w:rFonts w:hint="eastAsia" w:ascii="Times New Roman" w:hAnsi="Times New Roman" w:eastAsia="仿宋_GB2312" w:cs="仿宋_GB2312"/>
          <w:b/>
          <w:bCs/>
          <w:caps w:val="0"/>
          <w:sz w:val="32"/>
          <w:szCs w:val="32"/>
        </w:rPr>
        <w:t>加强企业环境治理责任制度建设。</w:t>
      </w:r>
      <w:r>
        <w:rPr>
          <w:rFonts w:hint="eastAsia" w:ascii="Times New Roman" w:hAnsi="Times New Roman" w:eastAsia="仿宋_GB2312" w:cs="仿宋_GB2312"/>
          <w:bCs/>
          <w:caps w:val="0"/>
          <w:sz w:val="32"/>
          <w:szCs w:val="32"/>
        </w:rPr>
        <w:t>落实企业主要负责人第一责任人制度、企业环保专员制度，推动企业建立分层级的环境管理责任体系。严格落实污染治理、损害赔偿和生态修复责任。重点排污单位依法安装使用自动监测设备并确保正常运行，坚决杜绝治理效果和监测数据造假。率先对电器电子、铅蓄电池、车用动力电池等产品实施生产者责任延伸制度，逐步扩大实施范围，鼓励花都汽车城内企业积极开展电池回收利用计划。</w:t>
      </w:r>
    </w:p>
    <w:p>
      <w:pPr>
        <w:wordWrap/>
        <w:snapToGrid/>
        <w:spacing w:line="240" w:lineRule="auto"/>
        <w:ind w:firstLine="632" w:firstLineChars="200"/>
        <w:jc w:val="both"/>
        <w:textAlignment w:val="auto"/>
        <w:rPr>
          <w:rFonts w:ascii="Times New Roman" w:hAnsi="Times New Roman"/>
          <w:bCs/>
          <w:caps w:val="0"/>
          <w:sz w:val="32"/>
          <w:szCs w:val="32"/>
        </w:rPr>
      </w:pPr>
      <w:r>
        <w:rPr>
          <w:rFonts w:hint="eastAsia" w:ascii="Times New Roman" w:hAnsi="Times New Roman" w:eastAsia="仿宋_GB2312" w:cs="仿宋_GB2312"/>
          <w:b/>
          <w:bCs/>
          <w:caps w:val="0"/>
          <w:sz w:val="32"/>
          <w:szCs w:val="32"/>
        </w:rPr>
        <w:t>完善排污许可制度。</w:t>
      </w:r>
      <w:r>
        <w:rPr>
          <w:rFonts w:hint="eastAsia" w:ascii="Times New Roman" w:hAnsi="Times New Roman" w:eastAsia="仿宋_GB2312" w:cs="仿宋_GB2312"/>
          <w:bCs/>
          <w:caps w:val="0"/>
          <w:sz w:val="32"/>
          <w:szCs w:val="32"/>
        </w:rPr>
        <w:t>贯彻落实《排污许可管理条例》</w:t>
      </w:r>
      <w:r>
        <w:rPr>
          <w:rFonts w:hint="eastAsia" w:ascii="Times New Roman" w:hAnsi="Times New Roman" w:cs="仿宋_GB2312"/>
          <w:bCs/>
          <w:caps w:val="0"/>
          <w:sz w:val="32"/>
          <w:szCs w:val="32"/>
          <w:lang w:eastAsia="zh-CN"/>
        </w:rPr>
        <w:t>，</w:t>
      </w:r>
      <w:r>
        <w:rPr>
          <w:rFonts w:hint="eastAsia" w:ascii="Times New Roman" w:hAnsi="Times New Roman" w:eastAsia="仿宋_GB2312" w:cs="仿宋_GB2312"/>
          <w:bCs/>
          <w:caps w:val="0"/>
          <w:sz w:val="32"/>
          <w:szCs w:val="32"/>
        </w:rPr>
        <w:t>强化排污许可证后监管，监督企业依法持证排污、依证运营，落实台账记录、自行监测、排污许可证执行报告等制度。构建以排污许可制为核心的固定污染源监管制度体系，实现“一证式”管理。健</w:t>
      </w:r>
      <w:r>
        <w:rPr>
          <w:rFonts w:ascii="Times New Roman" w:hAnsi="Times New Roman"/>
          <w:bCs/>
          <w:caps w:val="0"/>
          <w:sz w:val="32"/>
          <w:szCs w:val="32"/>
        </w:rPr>
        <w:t>全企业排污许可证档案信息台账和数据库，加强排污许可证信息公开。推动重点行业环境影响评价、排污许可、监管执法全闭环管理。持续做好排污许可证换证或登记延续动态更新。</w:t>
      </w:r>
    </w:p>
    <w:p>
      <w:pPr>
        <w:wordWrap/>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
          <w:bCs/>
          <w:caps w:val="0"/>
          <w:sz w:val="32"/>
          <w:szCs w:val="32"/>
        </w:rPr>
        <w:t>健全企业信息强制披露制度。</w:t>
      </w:r>
      <w:r>
        <w:rPr>
          <w:rFonts w:ascii="Times New Roman" w:hAnsi="Times New Roman"/>
          <w:bCs/>
          <w:caps w:val="0"/>
          <w:sz w:val="32"/>
          <w:szCs w:val="32"/>
        </w:rPr>
        <w:t>加强排污企业环境信息公开，排污企业应通过企业网站、报纸、现场公示牌、电子荧屏等途径依法公开污染防治设施建设运行和主要污染物排放情况，并对信息真实性负责，接受社会监督。在确保安全生产前提下，推进企业环保设施向社会公众开放，逐步实现公众开放工作制度化、规范化、常态化。</w:t>
      </w:r>
    </w:p>
    <w:p>
      <w:pPr>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171" w:name="_Toc88053874"/>
      <w:r>
        <w:rPr>
          <w:rFonts w:ascii="Times New Roman" w:hAnsi="Times New Roman"/>
          <w:b/>
          <w:caps w:val="0"/>
          <w:sz w:val="32"/>
          <w:szCs w:val="32"/>
        </w:rPr>
        <w:t>6.11.4健全环境治理市场体系</w:t>
      </w:r>
      <w:bookmarkEnd w:id="171"/>
    </w:p>
    <w:p>
      <w:pPr>
        <w:wordWrap/>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
          <w:bCs/>
          <w:caps w:val="0"/>
          <w:sz w:val="32"/>
          <w:szCs w:val="32"/>
        </w:rPr>
        <w:t>规范环境治理市场秩序。</w:t>
      </w:r>
      <w:r>
        <w:rPr>
          <w:rFonts w:ascii="Times New Roman" w:hAnsi="Times New Roman"/>
          <w:bCs/>
          <w:caps w:val="0"/>
          <w:sz w:val="32"/>
          <w:szCs w:val="32"/>
        </w:rPr>
        <w:t>引导各类资本参与生态环境治理投资、建设、运行。规范市场秩序，严厉打击恶性竞争行为，防止恶意低价中标。加强对环评文件编制和环境检测等第三方服务机构监管评估，健全惩戒、退出机制，加快形成公开透明、规范有序的环境治理市场环境。</w:t>
      </w:r>
    </w:p>
    <w:p>
      <w:pPr>
        <w:wordWrap/>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
          <w:bCs/>
          <w:caps w:val="0"/>
          <w:sz w:val="32"/>
          <w:szCs w:val="32"/>
        </w:rPr>
        <w:t>强化环保产业支撑。</w:t>
      </w:r>
      <w:r>
        <w:rPr>
          <w:rFonts w:ascii="Times New Roman" w:hAnsi="Times New Roman"/>
          <w:bCs/>
          <w:caps w:val="0"/>
          <w:sz w:val="32"/>
          <w:szCs w:val="32"/>
        </w:rPr>
        <w:t>积极培育壮大大气污染防治、水污染防治、土壤污染治理修复、固体废物污染防治、生态环境监测等领域的环保产业，支持相关企业积极参与关键环保技术产品自主创新，加大环保产业技术装备研发力度，推动节能环保产业发展壮大。依托国际空铁枢纽、高端智造基地建设契机，鼓励企业带动先进的环保技术、装备、产能走出去。</w:t>
      </w:r>
    </w:p>
    <w:p>
      <w:pPr>
        <w:wordWrap/>
        <w:snapToGrid/>
        <w:spacing w:line="240" w:lineRule="auto"/>
        <w:ind w:firstLine="632" w:firstLineChars="200"/>
        <w:jc w:val="both"/>
        <w:textAlignment w:val="auto"/>
        <w:rPr>
          <w:rFonts w:hint="eastAsia" w:ascii="Times New Roman" w:hAnsi="Times New Roman" w:eastAsia="仿宋_GB2312" w:cs="仿宋_GB2312"/>
          <w:bCs/>
          <w:caps w:val="0"/>
          <w:sz w:val="32"/>
          <w:szCs w:val="32"/>
        </w:rPr>
      </w:pPr>
      <w:r>
        <w:rPr>
          <w:rFonts w:ascii="Times New Roman" w:hAnsi="Times New Roman"/>
          <w:b/>
          <w:bCs/>
          <w:caps w:val="0"/>
          <w:sz w:val="32"/>
          <w:szCs w:val="32"/>
        </w:rPr>
        <w:t>创新市场化环境治理模式。</w:t>
      </w:r>
      <w:r>
        <w:rPr>
          <w:rFonts w:ascii="Times New Roman" w:hAnsi="Times New Roman"/>
          <w:bCs/>
          <w:caps w:val="0"/>
          <w:sz w:val="32"/>
          <w:szCs w:val="32"/>
        </w:rPr>
        <w:t>大力推广政府与社会资本合作（PPP</w:t>
      </w:r>
      <w:r>
        <w:rPr>
          <w:rFonts w:hint="eastAsia" w:ascii="Times New Roman" w:hAnsi="Times New Roman" w:eastAsia="仿宋_GB2312" w:cs="仿宋_GB2312"/>
          <w:bCs/>
          <w:caps w:val="0"/>
          <w:sz w:val="32"/>
          <w:szCs w:val="32"/>
        </w:rPr>
        <w:t>）模式，推广“环保管家”“环境医院”等综合服务模式。探索在工业园区和重点行业推行统一规划、统一监测、统一治理的模式。通过政府购买服务、委托治理等方式，深入推进环境污染第三方治理。</w:t>
      </w:r>
    </w:p>
    <w:p>
      <w:pPr>
        <w:wordWrap/>
        <w:snapToGrid/>
        <w:spacing w:line="240" w:lineRule="auto"/>
        <w:ind w:firstLine="632" w:firstLineChars="200"/>
        <w:jc w:val="both"/>
        <w:textAlignment w:val="auto"/>
        <w:rPr>
          <w:rFonts w:hint="eastAsia" w:ascii="Times New Roman" w:hAnsi="Times New Roman" w:eastAsia="仿宋_GB2312" w:cs="仿宋_GB2312"/>
          <w:bCs/>
          <w:caps w:val="0"/>
          <w:sz w:val="32"/>
          <w:szCs w:val="32"/>
        </w:rPr>
      </w:pPr>
      <w:r>
        <w:rPr>
          <w:rFonts w:hint="eastAsia" w:ascii="Times New Roman" w:hAnsi="Times New Roman" w:eastAsia="仿宋_GB2312" w:cs="仿宋_GB2312"/>
          <w:b/>
          <w:bCs/>
          <w:caps w:val="0"/>
          <w:sz w:val="32"/>
          <w:szCs w:val="32"/>
        </w:rPr>
        <w:t>贯彻落实生态保护补偿机制。</w:t>
      </w:r>
      <w:r>
        <w:rPr>
          <w:rFonts w:hint="eastAsia" w:ascii="Times New Roman" w:hAnsi="Times New Roman" w:eastAsia="仿宋_GB2312" w:cs="仿宋_GB2312"/>
          <w:bCs/>
          <w:caps w:val="0"/>
          <w:sz w:val="32"/>
          <w:szCs w:val="32"/>
        </w:rPr>
        <w:t>完善补偿资金管理，制定生态补偿专项资金使用方案，积极开展生态保护补偿绩效评估，建立区域统筹型生态保护补偿制度，促进区域协调、公平发展。探索推进碳排放补偿，探索多元化的生态补偿方式。</w:t>
      </w:r>
    </w:p>
    <w:p>
      <w:pPr>
        <w:wordWrap/>
        <w:snapToGrid/>
        <w:spacing w:line="240" w:lineRule="auto"/>
        <w:ind w:firstLine="632" w:firstLineChars="200"/>
        <w:jc w:val="both"/>
        <w:textAlignment w:val="auto"/>
        <w:rPr>
          <w:rFonts w:ascii="Times New Roman" w:hAnsi="Times New Roman"/>
          <w:bCs/>
          <w:caps w:val="0"/>
          <w:sz w:val="32"/>
          <w:szCs w:val="32"/>
        </w:rPr>
      </w:pPr>
      <w:r>
        <w:rPr>
          <w:rFonts w:hint="eastAsia" w:ascii="Times New Roman" w:hAnsi="Times New Roman" w:eastAsia="仿宋_GB2312" w:cs="仿宋_GB2312"/>
          <w:b/>
          <w:bCs/>
          <w:caps w:val="0"/>
          <w:sz w:val="32"/>
          <w:szCs w:val="32"/>
        </w:rPr>
        <w:t>引领绿色金融改革创新试验。创新发展绿色金融产品和服务。</w:t>
      </w:r>
      <w:r>
        <w:rPr>
          <w:rFonts w:hint="eastAsia" w:ascii="Times New Roman" w:hAnsi="Times New Roman" w:eastAsia="仿宋_GB2312" w:cs="仿宋_GB2312"/>
          <w:bCs/>
          <w:caps w:val="0"/>
          <w:sz w:val="32"/>
          <w:szCs w:val="32"/>
        </w:rPr>
        <w:t>将花都打造成具有辐射力和影响力的粤港澳大湾区绿色金融集聚中心。推动环境污染责任保险发展，依法依规在环境高风险领域实施环境污染强制责任保险，探索绿色保险参与生态保护补偿的途径。依托广州碳排放权交易中心探索构建生态产品交易平台，积极推进碳金融业务创新，探索建立粤港澳统一的碳金融市场，深化碳排放权抵质押融资试点、林业碳汇生态补偿试点，积极争取国家生态产品价值实现机制试点落地。探索开展排污权、用水权、用能权、城市矿产等多元化生态产品交易，加快通过市场化方式实现生态价值。</w:t>
      </w:r>
      <w:r>
        <w:rPr>
          <w:rFonts w:hint="eastAsia" w:ascii="Times New Roman" w:hAnsi="Times New Roman" w:eastAsia="仿宋_GB2312" w:cs="仿宋_GB2312"/>
          <w:b/>
          <w:bCs/>
          <w:caps w:val="0"/>
          <w:sz w:val="32"/>
          <w:szCs w:val="32"/>
        </w:rPr>
        <w:t>建立健全绿色金融推动绿色发展的体制机制。</w:t>
      </w:r>
      <w:r>
        <w:rPr>
          <w:rFonts w:hint="eastAsia" w:ascii="Times New Roman" w:hAnsi="Times New Roman" w:eastAsia="仿宋_GB2312" w:cs="仿宋_GB2312"/>
          <w:bCs/>
          <w:caps w:val="0"/>
          <w:sz w:val="32"/>
          <w:szCs w:val="32"/>
        </w:rPr>
        <w:t>推动绿色金融与产业深度融合，构建绿色信贷支持机制，</w:t>
      </w:r>
      <w:r>
        <w:rPr>
          <w:rFonts w:ascii="Times New Roman" w:hAnsi="Times New Roman"/>
          <w:bCs/>
          <w:caps w:val="0"/>
          <w:sz w:val="32"/>
          <w:szCs w:val="32"/>
        </w:rPr>
        <w:t>支持传统产业绿色化转型升级，以绿色供应链带动产业绿色化发展。对绿色低碳项目给予更大支持，鼓励银行业金融机构为白云机场三期扩建工程、广州北站改扩建、城市更新等重大基础设施项目创新融资模式。构建差异化的绿色建筑金融服务体系，推进绿色建筑信贷认定标准与绿色建筑标准对接，积极争取人民银行对绿色建筑给予再贷款、再贴现政策支持，优先办理金融机构承兑、持有的绿色建筑项目票据再贴现业务，促进绿色金融与绿色建筑协同发展。</w:t>
      </w:r>
      <w:r>
        <w:rPr>
          <w:rFonts w:ascii="Times New Roman" w:hAnsi="Times New Roman"/>
          <w:b/>
          <w:bCs/>
          <w:caps w:val="0"/>
          <w:sz w:val="32"/>
          <w:szCs w:val="32"/>
        </w:rPr>
        <w:t>培育壮大绿色金融机构。</w:t>
      </w:r>
      <w:r>
        <w:rPr>
          <w:rFonts w:ascii="Times New Roman" w:hAnsi="Times New Roman"/>
          <w:bCs/>
          <w:caps w:val="0"/>
          <w:sz w:val="32"/>
          <w:szCs w:val="32"/>
        </w:rPr>
        <w:t>积极吸引国内金融机构、专业中介服务机构总部落户或在花都设立绿色金融事业部或绿色专营机构，推动核心企业在花都建立粤港澳大湾区供应链金融总部，支持外资银行机构进驻，争取合格境内投资企业（QDIE）境外投资业务试点落地。</w:t>
      </w:r>
      <w:r>
        <w:rPr>
          <w:rFonts w:ascii="Times New Roman" w:hAnsi="Times New Roman"/>
          <w:b/>
          <w:bCs/>
          <w:caps w:val="0"/>
          <w:sz w:val="32"/>
          <w:szCs w:val="32"/>
        </w:rPr>
        <w:t>积极推动绿色债券发行。</w:t>
      </w:r>
      <w:r>
        <w:rPr>
          <w:rFonts w:ascii="Times New Roman" w:hAnsi="Times New Roman"/>
          <w:bCs/>
          <w:caps w:val="0"/>
          <w:sz w:val="32"/>
          <w:szCs w:val="32"/>
        </w:rPr>
        <w:t>支持符合条件的金融机构在银行间市场发行绿色金融债募集资金。支持花都绿色企业通过绿色债券市场直接融资，支持中小绿色企业发行绿色集合债。进一步完善企业信用增进、担保和风险补偿等机制，探索发行绿色政府专项债，支持绿色项目特别是大型基础设施项目的建设运营。</w:t>
      </w:r>
    </w:p>
    <w:p>
      <w:pPr>
        <w:wordWrap/>
        <w:adjustRightInd w:val="0"/>
        <w:snapToGrid/>
        <w:spacing w:line="240" w:lineRule="auto"/>
        <w:ind w:firstLine="632" w:firstLineChars="200"/>
        <w:jc w:val="both"/>
        <w:textAlignment w:val="auto"/>
        <w:outlineLvl w:val="2"/>
        <w:rPr>
          <w:rFonts w:hint="eastAsia" w:ascii="Times New Roman" w:hAnsi="Times New Roman" w:eastAsia="仿宋_GB2312" w:cs="仿宋_GB2312"/>
          <w:b/>
          <w:caps w:val="0"/>
          <w:sz w:val="32"/>
          <w:szCs w:val="32"/>
        </w:rPr>
      </w:pPr>
      <w:bookmarkStart w:id="172" w:name="_Toc88053875"/>
      <w:r>
        <w:rPr>
          <w:rFonts w:ascii="Times New Roman" w:hAnsi="Times New Roman"/>
          <w:b/>
          <w:caps w:val="0"/>
          <w:sz w:val="32"/>
          <w:szCs w:val="32"/>
        </w:rPr>
        <w:t>6.11.5</w:t>
      </w:r>
      <w:r>
        <w:rPr>
          <w:rFonts w:hint="eastAsia" w:ascii="Times New Roman" w:hAnsi="Times New Roman" w:eastAsia="仿宋_GB2312" w:cs="仿宋_GB2312"/>
          <w:b/>
          <w:caps w:val="0"/>
          <w:sz w:val="32"/>
          <w:szCs w:val="32"/>
        </w:rPr>
        <w:t>健全环境治理信用体系</w:t>
      </w:r>
      <w:bookmarkEnd w:id="172"/>
    </w:p>
    <w:p>
      <w:pPr>
        <w:wordWrap/>
        <w:snapToGrid/>
        <w:spacing w:line="240" w:lineRule="auto"/>
        <w:ind w:firstLine="632" w:firstLineChars="200"/>
        <w:jc w:val="both"/>
        <w:textAlignment w:val="auto"/>
        <w:rPr>
          <w:rFonts w:hint="eastAsia" w:ascii="Times New Roman" w:hAnsi="Times New Roman" w:eastAsia="仿宋_GB2312" w:cs="仿宋_GB2312"/>
          <w:bCs/>
          <w:caps w:val="0"/>
          <w:sz w:val="32"/>
          <w:szCs w:val="32"/>
        </w:rPr>
      </w:pPr>
      <w:r>
        <w:rPr>
          <w:rFonts w:hint="eastAsia" w:ascii="Times New Roman" w:hAnsi="Times New Roman" w:eastAsia="仿宋_GB2312" w:cs="仿宋_GB2312"/>
          <w:b/>
          <w:bCs/>
          <w:caps w:val="0"/>
          <w:sz w:val="32"/>
          <w:szCs w:val="32"/>
        </w:rPr>
        <w:t>加强政务诚信建设。</w:t>
      </w:r>
      <w:r>
        <w:rPr>
          <w:rFonts w:hint="eastAsia" w:ascii="Times New Roman" w:hAnsi="Times New Roman" w:eastAsia="仿宋_GB2312" w:cs="仿宋_GB2312"/>
          <w:bCs/>
          <w:caps w:val="0"/>
          <w:sz w:val="32"/>
          <w:szCs w:val="32"/>
        </w:rPr>
        <w:t>强化环境治理政务失信记录，将政府和公职人员在生态环境保护工作中因违法违规、失信违约被司法判决、行政处罚、纪律处分、问责处理等信息纳入政务失信记录，并归集至广州市信用信息共享平台，依托“信用中国”“信用广州”等网站依法依规逐步公开。</w:t>
      </w:r>
    </w:p>
    <w:p>
      <w:pPr>
        <w:wordWrap/>
        <w:snapToGrid/>
        <w:spacing w:line="240" w:lineRule="auto"/>
        <w:ind w:firstLine="632" w:firstLineChars="200"/>
        <w:jc w:val="both"/>
        <w:textAlignment w:val="auto"/>
        <w:rPr>
          <w:rFonts w:ascii="Times New Roman" w:hAnsi="Times New Roman"/>
          <w:bCs/>
          <w:caps w:val="0"/>
          <w:sz w:val="32"/>
          <w:szCs w:val="32"/>
        </w:rPr>
      </w:pPr>
      <w:r>
        <w:rPr>
          <w:rFonts w:hint="eastAsia" w:ascii="Times New Roman" w:hAnsi="Times New Roman" w:eastAsia="仿宋_GB2312" w:cs="仿宋_GB2312"/>
          <w:b/>
          <w:bCs/>
          <w:caps w:val="0"/>
          <w:sz w:val="32"/>
          <w:szCs w:val="32"/>
        </w:rPr>
        <w:t>健全企业环境信用评价制度。</w:t>
      </w:r>
      <w:r>
        <w:rPr>
          <w:rFonts w:hint="eastAsia" w:ascii="Times New Roman" w:hAnsi="Times New Roman" w:eastAsia="仿宋_GB2312" w:cs="仿宋_GB2312"/>
          <w:bCs/>
          <w:caps w:val="0"/>
          <w:sz w:val="32"/>
          <w:szCs w:val="32"/>
        </w:rPr>
        <w:t>加强对企业的服务与支持，尽量减少未自评企业数量，充分发挥镇</w:t>
      </w:r>
      <w:r>
        <w:rPr>
          <w:rFonts w:hint="eastAsia" w:ascii="Times New Roman" w:hAnsi="Times New Roman" w:cs="仿宋_GB2312"/>
          <w:bCs/>
          <w:caps w:val="0"/>
          <w:sz w:val="32"/>
          <w:szCs w:val="32"/>
          <w:lang w:eastAsia="zh-CN"/>
        </w:rPr>
        <w:t>（</w:t>
      </w:r>
      <w:r>
        <w:rPr>
          <w:rFonts w:hint="eastAsia" w:ascii="Times New Roman" w:hAnsi="Times New Roman" w:eastAsia="仿宋_GB2312" w:cs="仿宋_GB2312"/>
          <w:bCs/>
          <w:caps w:val="0"/>
          <w:sz w:val="32"/>
          <w:szCs w:val="32"/>
        </w:rPr>
        <w:t>街</w:t>
      </w:r>
      <w:r>
        <w:rPr>
          <w:rFonts w:hint="eastAsia" w:ascii="Times New Roman" w:hAnsi="Times New Roman" w:cs="仿宋_GB2312"/>
          <w:bCs/>
          <w:caps w:val="0"/>
          <w:sz w:val="32"/>
          <w:szCs w:val="32"/>
          <w:lang w:eastAsia="zh-CN"/>
        </w:rPr>
        <w:t>）</w:t>
      </w:r>
      <w:r>
        <w:rPr>
          <w:rFonts w:hint="eastAsia" w:ascii="Times New Roman" w:hAnsi="Times New Roman" w:eastAsia="仿宋_GB2312" w:cs="仿宋_GB2312"/>
          <w:bCs/>
          <w:caps w:val="0"/>
          <w:sz w:val="32"/>
          <w:szCs w:val="32"/>
        </w:rPr>
        <w:t>环保员的作用，做到“应评尽评”。以“信用惠企”为出发点，加强引导，鼓励企业自愿参评。优化激励约束并重的治理机制，落实各部门协同推进守信联合激励、失信联合惩戒措施，切实加强企业环境信用分级分类管理，督促企业进一步改善环境行为。将环境违法企业纳入失信联合惩戒对象名单，依法依规向社会公开，接受监督。针对“一票否决”类型的处罚企业加强后</w:t>
      </w:r>
      <w:r>
        <w:rPr>
          <w:rFonts w:hint="eastAsia" w:ascii="Times New Roman" w:hAnsi="Times New Roman" w:cs="仿宋_GB2312"/>
          <w:bCs/>
          <w:caps w:val="0"/>
          <w:sz w:val="32"/>
          <w:szCs w:val="32"/>
          <w:lang w:eastAsia="zh-CN"/>
        </w:rPr>
        <w:t>期</w:t>
      </w:r>
      <w:r>
        <w:rPr>
          <w:rFonts w:hint="eastAsia" w:ascii="Times New Roman" w:hAnsi="Times New Roman" w:eastAsia="仿宋_GB2312" w:cs="仿宋_GB2312"/>
          <w:bCs/>
          <w:caps w:val="0"/>
          <w:sz w:val="32"/>
          <w:szCs w:val="32"/>
        </w:rPr>
        <w:t>督查，主动帮扶企业开展环境信用修复。加强环保诚信企业培育。</w:t>
      </w:r>
    </w:p>
    <w:p>
      <w:pPr>
        <w:wordWrap/>
        <w:adjustRightInd w:val="0"/>
        <w:snapToGrid/>
        <w:spacing w:line="240" w:lineRule="auto"/>
        <w:ind w:firstLine="632" w:firstLineChars="200"/>
        <w:jc w:val="both"/>
        <w:textAlignment w:val="auto"/>
        <w:outlineLvl w:val="2"/>
        <w:rPr>
          <w:rFonts w:hint="eastAsia" w:ascii="Times New Roman" w:hAnsi="Times New Roman" w:eastAsia="仿宋_GB2312" w:cs="仿宋_GB2312"/>
          <w:b/>
          <w:caps w:val="0"/>
          <w:sz w:val="32"/>
          <w:szCs w:val="32"/>
        </w:rPr>
      </w:pPr>
      <w:bookmarkStart w:id="173" w:name="_Toc88053876"/>
      <w:r>
        <w:rPr>
          <w:rFonts w:ascii="Times New Roman" w:hAnsi="Times New Roman"/>
          <w:b/>
          <w:caps w:val="0"/>
          <w:sz w:val="32"/>
          <w:szCs w:val="32"/>
        </w:rPr>
        <w:t>6.11.6</w:t>
      </w:r>
      <w:r>
        <w:rPr>
          <w:rFonts w:hint="eastAsia" w:ascii="Times New Roman" w:hAnsi="Times New Roman" w:eastAsia="仿宋_GB2312" w:cs="仿宋_GB2312"/>
          <w:b/>
          <w:caps w:val="0"/>
          <w:sz w:val="32"/>
          <w:szCs w:val="32"/>
        </w:rPr>
        <w:t>健全环境治理监管体系</w:t>
      </w:r>
      <w:bookmarkEnd w:id="173"/>
    </w:p>
    <w:p>
      <w:pPr>
        <w:wordWrap/>
        <w:snapToGrid/>
        <w:spacing w:line="240" w:lineRule="auto"/>
        <w:ind w:firstLine="632" w:firstLineChars="200"/>
        <w:jc w:val="both"/>
        <w:textAlignment w:val="auto"/>
        <w:rPr>
          <w:rFonts w:hint="eastAsia" w:ascii="Times New Roman" w:hAnsi="Times New Roman" w:eastAsia="仿宋_GB2312" w:cs="仿宋_GB2312"/>
          <w:bCs/>
          <w:caps w:val="0"/>
          <w:sz w:val="32"/>
          <w:szCs w:val="32"/>
        </w:rPr>
      </w:pPr>
      <w:r>
        <w:rPr>
          <w:rFonts w:hint="eastAsia" w:ascii="Times New Roman" w:hAnsi="Times New Roman" w:eastAsia="仿宋_GB2312" w:cs="仿宋_GB2312"/>
          <w:b/>
          <w:bCs/>
          <w:caps w:val="0"/>
          <w:sz w:val="32"/>
          <w:szCs w:val="32"/>
        </w:rPr>
        <w:t>加强生态环境信息化建设。</w:t>
      </w:r>
      <w:r>
        <w:rPr>
          <w:rFonts w:hint="eastAsia" w:ascii="Times New Roman" w:hAnsi="Times New Roman" w:eastAsia="仿宋_GB2312" w:cs="仿宋_GB2312"/>
          <w:bCs/>
          <w:caps w:val="0"/>
          <w:sz w:val="32"/>
          <w:szCs w:val="32"/>
        </w:rPr>
        <w:t>进一步完善花都区“多规合一”平台建设，在“三线一单”的基础上扩充环保内容及平台功能。强化平台实际应用，为政府决策提供空间准入支持，优化产业发展布局，保障高质量发展。推动“三线一单”划分成果数据化、动态化管理。充分开发利用现有的“多规合一”平台，各职能部门结合实际情况把决策流程转移到“多规合一”平台上，充分利用现代互联网技术和大数据技术，结合地理信息系统技术达到多项规划落在“一张图”的可视化统一决策的目的。建立健全重点污染源档案、污染源信息数据库和环境统计平台。</w:t>
      </w:r>
    </w:p>
    <w:p>
      <w:pPr>
        <w:wordWrap/>
        <w:snapToGrid/>
        <w:spacing w:line="240" w:lineRule="auto"/>
        <w:ind w:firstLine="632" w:firstLineChars="200"/>
        <w:jc w:val="both"/>
        <w:textAlignment w:val="auto"/>
        <w:rPr>
          <w:rFonts w:ascii="Times New Roman" w:hAnsi="Times New Roman"/>
          <w:bCs/>
          <w:caps w:val="0"/>
          <w:sz w:val="32"/>
          <w:szCs w:val="32"/>
        </w:rPr>
      </w:pPr>
      <w:r>
        <w:rPr>
          <w:rFonts w:hint="eastAsia" w:ascii="Times New Roman" w:hAnsi="Times New Roman" w:eastAsia="仿宋_GB2312" w:cs="仿宋_GB2312"/>
          <w:b/>
          <w:bCs/>
          <w:caps w:val="0"/>
          <w:sz w:val="32"/>
          <w:szCs w:val="32"/>
        </w:rPr>
        <w:t>提升环境监测监控能力。</w:t>
      </w:r>
      <w:r>
        <w:rPr>
          <w:rFonts w:hint="eastAsia" w:ascii="Times New Roman" w:hAnsi="Times New Roman" w:eastAsia="仿宋_GB2312" w:cs="仿宋_GB2312"/>
          <w:bCs/>
          <w:caps w:val="0"/>
          <w:sz w:val="32"/>
          <w:szCs w:val="32"/>
        </w:rPr>
        <w:t>逐步增加监测站现有监测网络的覆盖范围、指标项目，提高环境监测装备现代化水平，</w:t>
      </w:r>
      <w:bookmarkStart w:id="174" w:name="_Hlk73114484"/>
      <w:r>
        <w:rPr>
          <w:rFonts w:hint="eastAsia" w:ascii="Times New Roman" w:hAnsi="Times New Roman" w:eastAsia="仿宋_GB2312" w:cs="仿宋_GB2312"/>
          <w:bCs/>
          <w:caps w:val="0"/>
          <w:sz w:val="32"/>
          <w:szCs w:val="32"/>
        </w:rPr>
        <w:t>推广“一镇街一空气质量监测站”模式，加密大气环境监测网络建设</w:t>
      </w:r>
      <w:bookmarkEnd w:id="174"/>
      <w:r>
        <w:rPr>
          <w:rFonts w:hint="eastAsia" w:ascii="Times New Roman" w:hAnsi="Times New Roman" w:eastAsia="仿宋_GB2312" w:cs="仿宋_GB2312"/>
          <w:bCs/>
          <w:caps w:val="0"/>
          <w:sz w:val="32"/>
          <w:szCs w:val="32"/>
        </w:rPr>
        <w:t>。建立覆盖全面的水环境质量监测网络，科学布控监测点，增加监测频次，重点对饮用水水源地、地表水断面、跨界河流、功能区展开动态</w:t>
      </w:r>
      <w:r>
        <w:rPr>
          <w:rFonts w:hint="eastAsia" w:ascii="Times New Roman" w:hAnsi="Times New Roman"/>
          <w:bCs/>
          <w:caps w:val="0"/>
          <w:sz w:val="32"/>
          <w:szCs w:val="32"/>
        </w:rPr>
        <w:t>监控，同时继续对流溪河、白坭河一级支流的加密监测，为精准治污提供科学依据。</w:t>
      </w:r>
      <w:r>
        <w:rPr>
          <w:rFonts w:ascii="Times New Roman" w:hAnsi="Times New Roman"/>
          <w:bCs/>
          <w:caps w:val="0"/>
          <w:sz w:val="32"/>
          <w:szCs w:val="32"/>
        </w:rPr>
        <w:t>加强大数据平台建设和提升污染溯源解析等监测数据深度应用水平，使监测站业务能力逐步达到满足生态环境质量评估和预警的需求。进一步</w:t>
      </w:r>
      <w:r>
        <w:rPr>
          <w:rFonts w:hint="eastAsia"/>
          <w:bCs/>
          <w:caps w:val="0"/>
          <w:sz w:val="32"/>
          <w:szCs w:val="32"/>
          <w:lang w:eastAsia="zh-CN"/>
        </w:rPr>
        <w:t>梳</w:t>
      </w:r>
      <w:r>
        <w:rPr>
          <w:rFonts w:ascii="Times New Roman" w:hAnsi="Times New Roman"/>
          <w:bCs/>
          <w:caps w:val="0"/>
          <w:sz w:val="32"/>
          <w:szCs w:val="32"/>
        </w:rPr>
        <w:t>理优化辖区应急监测体系，加强应急监测值守，增加应急监测仪器，开展应急监测演练，提升应急监测能力。利用社会环境监测资源，向社会第三方购买服务，委托第三方监测机构进行监测，为环境监测社会化管理进行探索。加强监测数据质量管理，加大社会监测机构监督检查力度，严厉打击监测数据弄虚作假行为。</w:t>
      </w:r>
    </w:p>
    <w:p>
      <w:pPr>
        <w:wordWrap/>
        <w:snapToGrid/>
        <w:spacing w:line="240" w:lineRule="auto"/>
        <w:ind w:firstLine="632" w:firstLineChars="200"/>
        <w:jc w:val="both"/>
        <w:textAlignment w:val="auto"/>
        <w:rPr>
          <w:rFonts w:ascii="Times New Roman" w:hAnsi="Times New Roman"/>
          <w:bCs/>
          <w:caps w:val="0"/>
          <w:sz w:val="32"/>
          <w:szCs w:val="32"/>
        </w:rPr>
      </w:pPr>
      <w:r>
        <w:rPr>
          <w:rFonts w:hint="eastAsia" w:ascii="Times New Roman" w:hAnsi="Times New Roman" w:eastAsia="仿宋_GB2312" w:cs="仿宋_GB2312"/>
          <w:b/>
          <w:bCs/>
          <w:caps w:val="0"/>
          <w:sz w:val="32"/>
          <w:szCs w:val="32"/>
        </w:rPr>
        <w:t>提升环境监察执法能力。</w:t>
      </w:r>
      <w:r>
        <w:rPr>
          <w:rFonts w:hint="eastAsia" w:ascii="Times New Roman" w:hAnsi="Times New Roman" w:eastAsia="仿宋_GB2312" w:cs="仿宋_GB2312"/>
          <w:bCs/>
          <w:caps w:val="0"/>
          <w:sz w:val="32"/>
          <w:szCs w:val="32"/>
        </w:rPr>
        <w:t>落实生态环境机构垂直管理制度改革和综合行政执法改革工作。加强基层执法队伍建设，优化专职环保员管理，对专职环保员开展环保相关业务的实操培训工作，构建镇（街）园区基层环境监管体系。优化生态环境执法监管模式，进一步健全随机抽取检查对象、随机选派执法检查人员的“双随机”机制。在污染源日常环境监管中进一步推进“双随机、一公开”制度化、规范化、精细化；健全以“双随机、一公开”为手段、以重点监管为补充，以信用监管为基础的监管机制。结合双随机抽查和日常环境监管抽查工作，开展对各基层环保所环境执法监察工作的监督和指导。推进落实监督执法正面清单制度，实行差异化监管措施。大力提升环境监察执法队伍和装备水平，推行非现场监管方式，拓展非现场监管的手段及应用，充分运用移动执法、自动监测、无人机巡查、走航调查监测等科技监察手段，实</w:t>
      </w:r>
      <w:r>
        <w:rPr>
          <w:rFonts w:ascii="Times New Roman" w:hAnsi="Times New Roman"/>
          <w:bCs/>
          <w:caps w:val="0"/>
          <w:sz w:val="32"/>
          <w:szCs w:val="32"/>
        </w:rPr>
        <w:t>时监控、实时留痕，努力实现环境执法全覆盖、全时段、无死角，提升监控预警能力和科学办案水平，严厉打击环境违法行为和环境污染犯罪。</w:t>
      </w:r>
    </w:p>
    <w:p>
      <w:pPr>
        <w:wordWrap/>
        <w:snapToGrid/>
        <w:spacing w:line="240" w:lineRule="auto"/>
        <w:ind w:firstLine="632" w:firstLineChars="200"/>
        <w:jc w:val="both"/>
        <w:textAlignment w:val="auto"/>
        <w:rPr>
          <w:rFonts w:ascii="Times New Roman" w:hAnsi="Times New Roman"/>
          <w:bCs/>
          <w:caps w:val="0"/>
          <w:sz w:val="32"/>
          <w:szCs w:val="32"/>
        </w:rPr>
      </w:pPr>
      <w:bookmarkStart w:id="175" w:name="_Hlk73730588"/>
      <w:r>
        <w:rPr>
          <w:rFonts w:ascii="Times New Roman" w:hAnsi="Times New Roman"/>
          <w:b/>
          <w:bCs/>
          <w:caps w:val="0"/>
          <w:sz w:val="32"/>
          <w:szCs w:val="32"/>
        </w:rPr>
        <w:t>强化环境应急管理能力。</w:t>
      </w:r>
      <w:bookmarkEnd w:id="175"/>
      <w:r>
        <w:rPr>
          <w:rFonts w:ascii="Times New Roman" w:hAnsi="Times New Roman"/>
          <w:bCs/>
          <w:caps w:val="0"/>
          <w:sz w:val="32"/>
          <w:szCs w:val="32"/>
        </w:rPr>
        <w:t>加强企事业单位环境应急预案编制、修编和备案管理，建立环境风险源备案台账，实现风险源分级分类管理。开展环境风险隐患排查专项整治，加大环境安全检查力度，督促企业落实环境安全主体责任。健全完善环境应急预案体系，开展行政区域突发环境事件风险评估和环境应急资源调查，建立预案定期评估制度，适时修订突发环境事件专项和部门应急预案，实现预案的动态优化和规范管理。健全跨部门、跨区域环境应急协调联动机制，定期开展应急处置演练工作，加强对工作人员的应急知识培训。建立健全应急管理队伍、专家支持队伍、救援处置队伍和物资装备保障体系，落实应急值守制度，及时响应，妥善应对突发环境事件。</w:t>
      </w:r>
    </w:p>
    <w:p>
      <w:pPr>
        <w:wordWrap/>
        <w:snapToGrid/>
        <w:spacing w:line="240" w:lineRule="auto"/>
        <w:ind w:firstLine="632" w:firstLineChars="200"/>
        <w:jc w:val="both"/>
        <w:textAlignment w:val="auto"/>
        <w:rPr>
          <w:rFonts w:ascii="Times New Roman" w:hAnsi="Times New Roman"/>
          <w:bCs/>
          <w:caps w:val="0"/>
          <w:sz w:val="32"/>
          <w:szCs w:val="32"/>
        </w:rPr>
      </w:pPr>
      <w:bookmarkStart w:id="176" w:name="_Hlk73732026"/>
      <w:r>
        <w:rPr>
          <w:rFonts w:ascii="Times New Roman" w:hAnsi="Times New Roman"/>
          <w:b/>
          <w:bCs/>
          <w:caps w:val="0"/>
          <w:sz w:val="32"/>
          <w:szCs w:val="32"/>
        </w:rPr>
        <w:t>健全生态环保区域合作共治机制。</w:t>
      </w:r>
      <w:bookmarkEnd w:id="176"/>
      <w:r>
        <w:rPr>
          <w:rFonts w:ascii="Times New Roman" w:hAnsi="Times New Roman"/>
          <w:bCs/>
          <w:caps w:val="0"/>
          <w:sz w:val="32"/>
          <w:szCs w:val="32"/>
        </w:rPr>
        <w:t>进一步巩固广佛、广清交界河涌污染整治成果，加强广佛、广清交界河涌污染整治联动，统一水环境治理标准、措施和进度，完善行政交界断面水质监测、信息通报和技术共享，推动建立系统、长效、可持续的广佛、广清水环境治理保护机制，全面消除广佛、广清跨界区域城市建成区黑臭水体，确保河流断面水质及主要支涌全面消除劣V</w:t>
      </w:r>
      <w:r>
        <w:rPr>
          <w:rFonts w:hint="eastAsia" w:ascii="Times New Roman" w:hAnsi="Times New Roman" w:eastAsia="仿宋_GB2312" w:cs="仿宋_GB2312"/>
          <w:bCs/>
          <w:caps w:val="0"/>
          <w:sz w:val="32"/>
          <w:szCs w:val="32"/>
        </w:rPr>
        <w:t>类，确保河涌水质稳定达标。基本建成三地在污染空气预测预报、数据共享、信息发布、治理措施评估等方面的合作机制，加强交界区域、重点时段、重点领域的联合监管执法，重点监督检查“散乱污”工业企业（场所）、堆场和施工工地扬尘、露天焚烧等情况，依法严格惩处环境违法和犯罪行为，推动环境空气质量持续改善，打造广佛、广清合作宜居示范区。</w:t>
      </w:r>
    </w:p>
    <w:p>
      <w:pPr>
        <w:wordWrap/>
        <w:adjustRightInd w:val="0"/>
        <w:snapToGrid/>
        <w:spacing w:line="240" w:lineRule="auto"/>
        <w:ind w:firstLine="632" w:firstLineChars="200"/>
        <w:jc w:val="both"/>
        <w:textAlignment w:val="auto"/>
        <w:outlineLvl w:val="2"/>
        <w:rPr>
          <w:rFonts w:ascii="Times New Roman" w:hAnsi="Times New Roman"/>
          <w:b/>
          <w:caps w:val="0"/>
          <w:sz w:val="32"/>
          <w:szCs w:val="32"/>
        </w:rPr>
      </w:pPr>
      <w:bookmarkStart w:id="177" w:name="_Toc88053877"/>
      <w:r>
        <w:rPr>
          <w:rFonts w:ascii="Times New Roman" w:hAnsi="Times New Roman"/>
          <w:b/>
          <w:caps w:val="0"/>
          <w:sz w:val="32"/>
          <w:szCs w:val="32"/>
        </w:rPr>
        <w:t>6.11.7健全环境治理全民行动体系</w:t>
      </w:r>
      <w:bookmarkEnd w:id="177"/>
    </w:p>
    <w:p>
      <w:pPr>
        <w:wordWrap/>
        <w:snapToGrid/>
        <w:spacing w:line="240" w:lineRule="auto"/>
        <w:ind w:firstLine="632" w:firstLineChars="200"/>
        <w:jc w:val="both"/>
        <w:textAlignment w:val="auto"/>
        <w:rPr>
          <w:rFonts w:ascii="Times New Roman" w:hAnsi="Times New Roman"/>
          <w:b/>
          <w:bCs/>
          <w:caps w:val="0"/>
          <w:sz w:val="32"/>
          <w:szCs w:val="32"/>
        </w:rPr>
      </w:pPr>
      <w:bookmarkStart w:id="178" w:name="_Hlk73735442"/>
      <w:r>
        <w:rPr>
          <w:rFonts w:ascii="Times New Roman" w:hAnsi="Times New Roman"/>
          <w:b/>
          <w:bCs/>
          <w:caps w:val="0"/>
          <w:sz w:val="32"/>
          <w:szCs w:val="32"/>
        </w:rPr>
        <w:t>发挥政府机关表率作用。</w:t>
      </w:r>
      <w:r>
        <w:rPr>
          <w:rFonts w:ascii="Times New Roman" w:hAnsi="Times New Roman"/>
          <w:bCs/>
          <w:caps w:val="0"/>
          <w:sz w:val="32"/>
          <w:szCs w:val="32"/>
        </w:rPr>
        <w:t>严格执行节约能源资源管理制度，加强目标管理，厉行勤俭节约，反对</w:t>
      </w:r>
      <w:r>
        <w:rPr>
          <w:rFonts w:hint="eastAsia"/>
          <w:bCs/>
          <w:caps w:val="0"/>
          <w:sz w:val="32"/>
          <w:szCs w:val="32"/>
          <w:lang w:eastAsia="zh-CN"/>
        </w:rPr>
        <w:t>铺张</w:t>
      </w:r>
      <w:r>
        <w:rPr>
          <w:rFonts w:ascii="Times New Roman" w:hAnsi="Times New Roman"/>
          <w:bCs/>
          <w:caps w:val="0"/>
          <w:sz w:val="32"/>
          <w:szCs w:val="32"/>
        </w:rPr>
        <w:t>浪费，推行绿色办公。加大绿色采购力度，扩大政府绿色采购范围。</w:t>
      </w:r>
      <w:bookmarkEnd w:id="178"/>
      <w:r>
        <w:rPr>
          <w:rFonts w:ascii="Times New Roman" w:hAnsi="Times New Roman"/>
          <w:bCs/>
          <w:caps w:val="0"/>
          <w:sz w:val="32"/>
          <w:szCs w:val="32"/>
        </w:rPr>
        <w:t>使用节能节水产品，推广视频会议。</w:t>
      </w:r>
    </w:p>
    <w:p>
      <w:pPr>
        <w:wordWrap/>
        <w:snapToGrid/>
        <w:spacing w:line="240" w:lineRule="auto"/>
        <w:ind w:firstLine="632" w:firstLineChars="200"/>
        <w:jc w:val="both"/>
        <w:textAlignment w:val="auto"/>
        <w:rPr>
          <w:rFonts w:ascii="Times New Roman" w:hAnsi="Times New Roman"/>
          <w:bCs/>
          <w:caps w:val="0"/>
          <w:sz w:val="32"/>
          <w:szCs w:val="32"/>
        </w:rPr>
      </w:pPr>
      <w:r>
        <w:rPr>
          <w:rFonts w:ascii="Times New Roman" w:hAnsi="Times New Roman"/>
          <w:b/>
          <w:bCs/>
          <w:caps w:val="0"/>
          <w:sz w:val="32"/>
          <w:szCs w:val="32"/>
        </w:rPr>
        <w:t>提高全社会生态环保意识。</w:t>
      </w:r>
      <w:r>
        <w:rPr>
          <w:rFonts w:ascii="Times New Roman" w:hAnsi="Times New Roman"/>
          <w:bCs/>
          <w:caps w:val="0"/>
          <w:sz w:val="32"/>
          <w:szCs w:val="32"/>
        </w:rPr>
        <w:t>将学习宣传贯彻习近平生态文明思想作为核心任务，在领导干部教育培训中设置生态环境保护专题，支持各级学校、幼儿园开展生态环境教育，推动高等院校开设生态环境教育专业、课程。推进生态文明教育进家庭、进社区、进工厂、进机关、进农村，引导各类人群的知识和技能学习。</w:t>
      </w:r>
      <w:bookmarkStart w:id="179" w:name="_Hlk75076951"/>
      <w:r>
        <w:rPr>
          <w:rFonts w:ascii="Times New Roman" w:hAnsi="Times New Roman"/>
          <w:bCs/>
          <w:caps w:val="0"/>
          <w:sz w:val="32"/>
          <w:szCs w:val="32"/>
        </w:rPr>
        <w:t>加强同社会公众联系，选取适合参观的如污水处理厂、环境监测站、绿色环保企业等环保科普基地，举办公众开放日，让公众更加深入参与到生态环境保护工作中，获得理解和支持。</w:t>
      </w:r>
      <w:bookmarkEnd w:id="179"/>
      <w:r>
        <w:rPr>
          <w:rFonts w:ascii="Times New Roman" w:hAnsi="Times New Roman"/>
          <w:bCs/>
          <w:caps w:val="0"/>
          <w:sz w:val="32"/>
          <w:szCs w:val="32"/>
        </w:rPr>
        <w:t>充分运用好报、网、端、微融媒体优势加强生态环境保护宣传教育，加大环境公益广告宣传力度，推广环境文化产品，传播生态文明和环境保护理念。坚持开展</w:t>
      </w:r>
      <w:r>
        <w:rPr>
          <w:rFonts w:hint="eastAsia"/>
          <w:bCs/>
          <w:caps w:val="0"/>
          <w:sz w:val="32"/>
          <w:szCs w:val="32"/>
          <w:lang w:eastAsia="zh-CN"/>
        </w:rPr>
        <w:t>六五</w:t>
      </w:r>
      <w:r>
        <w:rPr>
          <w:rFonts w:ascii="Times New Roman" w:hAnsi="Times New Roman"/>
          <w:bCs/>
          <w:caps w:val="0"/>
          <w:sz w:val="32"/>
          <w:szCs w:val="32"/>
        </w:rPr>
        <w:t>环保宣传月、绿色创建等活动。推行碳普惠制，深入开展垃圾分类。树立环保诚信企业等正面典型，曝光违法案件。</w:t>
      </w:r>
    </w:p>
    <w:p>
      <w:pPr>
        <w:wordWrap/>
        <w:snapToGrid/>
        <w:spacing w:line="240" w:lineRule="auto"/>
        <w:ind w:firstLine="632" w:firstLineChars="200"/>
        <w:jc w:val="both"/>
        <w:textAlignment w:val="auto"/>
        <w:rPr>
          <w:rFonts w:ascii="Times New Roman" w:hAnsi="Times New Roman"/>
          <w:bCs/>
          <w:caps w:val="0"/>
          <w:sz w:val="32"/>
          <w:szCs w:val="32"/>
        </w:rPr>
      </w:pPr>
      <w:bookmarkStart w:id="180" w:name="_Hlk73734452"/>
      <w:r>
        <w:rPr>
          <w:rFonts w:ascii="Times New Roman" w:hAnsi="Times New Roman"/>
          <w:b/>
          <w:bCs/>
          <w:caps w:val="0"/>
          <w:sz w:val="32"/>
          <w:szCs w:val="32"/>
        </w:rPr>
        <w:t>塑造花都生态文化品牌。</w:t>
      </w:r>
      <w:r>
        <w:rPr>
          <w:rFonts w:ascii="Times New Roman" w:hAnsi="Times New Roman"/>
          <w:bCs/>
          <w:caps w:val="0"/>
          <w:sz w:val="32"/>
          <w:szCs w:val="32"/>
        </w:rPr>
        <w:t>探索在生态文明新时期城区文化脉络延续和魅力彰显的路径，依托流溪河文化带、花都湖湿地建立健全以生态价值观念为准则的生态文化体系，促进传统文化与现代文明交相辉映。打造创意旅游及衍生产品，强化城区宜居宜业宜游品牌。充分挖掘优秀传统生态文化思想和资源，鼓励生态文明相关主题的文化作品创作，满足群众对绿色文化的需求。</w:t>
      </w:r>
      <w:bookmarkEnd w:id="180"/>
    </w:p>
    <w:p>
      <w:pPr>
        <w:wordWrap/>
        <w:snapToGrid/>
        <w:spacing w:line="240" w:lineRule="auto"/>
        <w:ind w:firstLine="632" w:firstLineChars="200"/>
        <w:jc w:val="both"/>
        <w:textAlignment w:val="auto"/>
        <w:rPr>
          <w:rFonts w:ascii="Times New Roman" w:hAnsi="Times New Roman"/>
          <w:bCs/>
          <w:caps w:val="0"/>
          <w:sz w:val="32"/>
          <w:szCs w:val="32"/>
        </w:rPr>
      </w:pPr>
      <w:bookmarkStart w:id="181" w:name="_Hlk73734743"/>
      <w:r>
        <w:rPr>
          <w:rFonts w:ascii="Times New Roman" w:hAnsi="Times New Roman"/>
          <w:b/>
          <w:bCs/>
          <w:caps w:val="0"/>
          <w:sz w:val="32"/>
          <w:szCs w:val="32"/>
        </w:rPr>
        <w:t>加大环保宣教力度。</w:t>
      </w:r>
      <w:r>
        <w:rPr>
          <w:rFonts w:ascii="Times New Roman" w:hAnsi="Times New Roman"/>
          <w:bCs/>
          <w:caps w:val="0"/>
          <w:sz w:val="32"/>
          <w:szCs w:val="32"/>
        </w:rPr>
        <w:t>定期组织环境宣教专职人员参加培训，强化宣教队伍素质能力建设。完善宣教设施和人员配置。落实环境宣教的标准化建设工作，扩充环保宣传人员队伍，鼓励社会力量积极参与。多方融资确保宣教经费的投入。努力争取各级财政环保专项资金、科技宣传资金向环保宣教倾斜，多渠道增加社会融资。</w:t>
      </w:r>
      <w:bookmarkEnd w:id="181"/>
    </w:p>
    <w:p>
      <w:pPr>
        <w:wordWrap/>
        <w:snapToGrid/>
        <w:spacing w:line="240" w:lineRule="auto"/>
        <w:ind w:firstLine="632" w:firstLineChars="200"/>
        <w:jc w:val="both"/>
        <w:textAlignment w:val="auto"/>
        <w:rPr>
          <w:rFonts w:ascii="Times New Roman" w:hAnsi="Times New Roman"/>
          <w:bCs/>
          <w:caps w:val="0"/>
          <w:sz w:val="32"/>
          <w:szCs w:val="32"/>
        </w:rPr>
      </w:pPr>
      <w:bookmarkStart w:id="182" w:name="_Hlk73734850"/>
      <w:r>
        <w:rPr>
          <w:rFonts w:ascii="Times New Roman" w:hAnsi="Times New Roman"/>
          <w:b/>
          <w:bCs/>
          <w:caps w:val="0"/>
          <w:sz w:val="32"/>
          <w:szCs w:val="32"/>
        </w:rPr>
        <w:t>发挥社会团体作用。</w:t>
      </w:r>
      <w:r>
        <w:rPr>
          <w:rFonts w:ascii="Times New Roman" w:hAnsi="Times New Roman"/>
          <w:bCs/>
          <w:caps w:val="0"/>
          <w:sz w:val="32"/>
          <w:szCs w:val="32"/>
        </w:rPr>
        <w:t>依托工会、共青团、妇联等群团组织，调动广大职工、青年、妇女参与生态环境治理的</w:t>
      </w:r>
      <w:r>
        <w:rPr>
          <w:rFonts w:hint="eastAsia"/>
          <w:bCs/>
          <w:caps w:val="0"/>
          <w:sz w:val="32"/>
          <w:szCs w:val="32"/>
          <w:lang w:eastAsia="zh-CN"/>
        </w:rPr>
        <w:t>积极性</w:t>
      </w:r>
      <w:r>
        <w:rPr>
          <w:rFonts w:ascii="Times New Roman" w:hAnsi="Times New Roman"/>
          <w:bCs/>
          <w:caps w:val="0"/>
          <w:sz w:val="32"/>
          <w:szCs w:val="32"/>
        </w:rPr>
        <w:t>。引导环保社会公益和志愿服务健康发展，加强与环保社会组织的宣传合作，加强对环保社会组织的环保法律法规培训，支持具备资格的环保组织依法开展生态环境公益诉讼等活动，充分发挥环保志愿者作用。</w:t>
      </w:r>
      <w:bookmarkEnd w:id="182"/>
    </w:p>
    <w:p>
      <w:pPr>
        <w:wordWrap/>
        <w:snapToGrid/>
        <w:spacing w:line="240" w:lineRule="auto"/>
        <w:ind w:firstLine="632" w:firstLineChars="200"/>
        <w:jc w:val="both"/>
        <w:textAlignment w:val="auto"/>
        <w:rPr>
          <w:rFonts w:ascii="Times New Roman" w:hAnsi="Times New Roman"/>
          <w:bCs/>
          <w:caps w:val="0"/>
          <w:sz w:val="32"/>
          <w:szCs w:val="32"/>
        </w:rPr>
      </w:pPr>
      <w:bookmarkStart w:id="183" w:name="_Hlk73735604"/>
      <w:r>
        <w:rPr>
          <w:rFonts w:ascii="Times New Roman" w:hAnsi="Times New Roman"/>
          <w:b/>
          <w:bCs/>
          <w:caps w:val="0"/>
          <w:sz w:val="32"/>
          <w:szCs w:val="32"/>
        </w:rPr>
        <w:t>强化行业自律。</w:t>
      </w:r>
      <w:r>
        <w:rPr>
          <w:rFonts w:ascii="Times New Roman" w:hAnsi="Times New Roman"/>
          <w:bCs/>
          <w:caps w:val="0"/>
          <w:sz w:val="32"/>
          <w:szCs w:val="32"/>
        </w:rPr>
        <w:t>推动行业协会、商会发挥桥梁纽带作用，促进行业环保自律，强化对企业生态环境行为的正向引导，积极推广应用绿色生产技术，推动形成资源节约、环境友好的行业秩序。</w:t>
      </w:r>
      <w:bookmarkEnd w:id="183"/>
    </w:p>
    <w:p>
      <w:pPr>
        <w:wordWrap/>
        <w:snapToGrid/>
        <w:spacing w:line="240" w:lineRule="auto"/>
        <w:ind w:firstLine="632" w:firstLineChars="200"/>
        <w:jc w:val="both"/>
        <w:textAlignment w:val="auto"/>
        <w:rPr>
          <w:rFonts w:hint="eastAsia" w:ascii="Times New Roman" w:hAnsi="Times New Roman" w:eastAsia="仿宋_GB2312" w:cs="仿宋_GB2312"/>
          <w:bCs/>
          <w:caps w:val="0"/>
          <w:sz w:val="32"/>
          <w:szCs w:val="32"/>
        </w:rPr>
      </w:pPr>
      <w:bookmarkStart w:id="184" w:name="_Hlk73735739"/>
      <w:r>
        <w:rPr>
          <w:rFonts w:hint="eastAsia" w:ascii="Times New Roman" w:hAnsi="Times New Roman" w:eastAsia="仿宋_GB2312" w:cs="仿宋_GB2312"/>
          <w:b/>
          <w:bCs/>
          <w:caps w:val="0"/>
          <w:sz w:val="32"/>
          <w:szCs w:val="32"/>
        </w:rPr>
        <w:t>落实生态环境保护信息公开机制。</w:t>
      </w:r>
      <w:r>
        <w:rPr>
          <w:rFonts w:hint="eastAsia" w:ascii="Times New Roman" w:hAnsi="Times New Roman" w:eastAsia="仿宋_GB2312" w:cs="仿宋_GB2312"/>
          <w:bCs/>
          <w:caps w:val="0"/>
          <w:sz w:val="32"/>
          <w:szCs w:val="32"/>
        </w:rPr>
        <w:t>发挥“花都早晨”等政务新媒体矩阵功能，推进环境信息公开渠道多元化、覆盖全面化。加大对重大环保政策、生态环境监测、重点污染源、突发环境事件等生态环境信息的公开力度，及时向社会发布有关的环境信息。强化舆情防控与应对。推进落实环境决策公众参与机制，保障公众的知情权、监督权、参与权。</w:t>
      </w:r>
      <w:bookmarkEnd w:id="184"/>
    </w:p>
    <w:p>
      <w:pPr>
        <w:wordWrap/>
        <w:snapToGrid/>
        <w:spacing w:line="240" w:lineRule="auto"/>
        <w:ind w:firstLine="632" w:firstLineChars="200"/>
        <w:jc w:val="both"/>
        <w:textAlignment w:val="auto"/>
        <w:rPr>
          <w:rFonts w:hint="eastAsia" w:ascii="Times New Roman" w:hAnsi="Times New Roman" w:eastAsia="仿宋_GB2312" w:cs="仿宋_GB2312"/>
          <w:bCs/>
          <w:caps w:val="0"/>
          <w:sz w:val="32"/>
          <w:szCs w:val="32"/>
        </w:rPr>
      </w:pPr>
      <w:r>
        <w:rPr>
          <w:rFonts w:hint="eastAsia" w:ascii="Times New Roman" w:hAnsi="Times New Roman" w:eastAsia="仿宋_GB2312" w:cs="仿宋_GB2312"/>
          <w:b/>
          <w:bCs/>
          <w:caps w:val="0"/>
          <w:sz w:val="32"/>
          <w:szCs w:val="32"/>
        </w:rPr>
        <w:t>完善社会监督机制。</w:t>
      </w:r>
      <w:r>
        <w:rPr>
          <w:rFonts w:hint="eastAsia" w:ascii="Times New Roman" w:hAnsi="Times New Roman" w:eastAsia="仿宋_GB2312" w:cs="仿宋_GB2312"/>
          <w:bCs/>
          <w:caps w:val="0"/>
          <w:sz w:val="32"/>
          <w:szCs w:val="32"/>
        </w:rPr>
        <w:t>落实公众监督和举报反馈制度，实施生态环境违法行为有奖举报，畅通环保监督渠道，丰富奖励方式，激励公众参与积极性。加强督办，落实环境信访领导包案及接访工作，推进落实重大环境信访问题部门联动机制，加大化解重大疑难突出问题力度。发挥舆论监督作用，利用政府网站、新闻媒体等报道环境治理进展、曝光环境违法行为和生态环境破坏问题。</w:t>
      </w:r>
      <w:bookmarkEnd w:id="165"/>
    </w:p>
    <w:p>
      <w:pPr>
        <w:pStyle w:val="3"/>
        <w:keepNext/>
        <w:keepLines/>
        <w:widowControl w:val="0"/>
        <w:wordWrap/>
        <w:adjustRightInd/>
        <w:snapToGrid/>
        <w:spacing w:beforeLines="50" w:afterLines="50" w:line="240" w:lineRule="auto"/>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br w:type="page"/>
      </w:r>
      <w:bookmarkStart w:id="185" w:name="_Toc88053878"/>
      <w:r>
        <w:rPr>
          <w:rFonts w:ascii="Times New Roman" w:hAnsi="Times New Roman"/>
          <w:b w:val="0"/>
          <w:bCs w:val="0"/>
          <w:caps w:val="0"/>
          <w:sz w:val="32"/>
          <w:szCs w:val="32"/>
        </w:rPr>
        <w:t>7、</w:t>
      </w:r>
      <w:r>
        <w:rPr>
          <w:rFonts w:hint="eastAsia" w:ascii="Times New Roman" w:hAnsi="Times New Roman" w:eastAsia="黑体" w:cs="黑体"/>
          <w:b w:val="0"/>
          <w:bCs w:val="0"/>
          <w:caps w:val="0"/>
          <w:sz w:val="32"/>
          <w:szCs w:val="32"/>
        </w:rPr>
        <w:t>重点工程</w:t>
      </w:r>
      <w:bookmarkEnd w:id="185"/>
    </w:p>
    <w:p>
      <w:pPr>
        <w:widowControl w:val="0"/>
        <w:wordWrap/>
        <w:autoSpaceDE w:val="0"/>
        <w:autoSpaceDN w:val="0"/>
        <w:adjustRightInd w:val="0"/>
        <w:snapToGrid/>
        <w:spacing w:line="240" w:lineRule="auto"/>
        <w:ind w:firstLine="632" w:firstLineChars="200"/>
        <w:jc w:val="both"/>
        <w:textAlignment w:val="auto"/>
        <w:rPr>
          <w:rFonts w:ascii="Times New Roman" w:hAnsi="Times New Roman"/>
          <w:caps w:val="0"/>
          <w:kern w:val="0"/>
          <w:sz w:val="32"/>
          <w:szCs w:val="32"/>
        </w:rPr>
      </w:pPr>
      <w:r>
        <w:rPr>
          <w:rFonts w:ascii="Times New Roman" w:hAnsi="Times New Roman"/>
          <w:caps w:val="0"/>
          <w:kern w:val="0"/>
          <w:sz w:val="32"/>
          <w:szCs w:val="32"/>
        </w:rPr>
        <w:t>为保障规划目标的实现，就水环境与水资源保护、应对气候变化、大气环境保护与能源结构调整、生态保护与建设、固体废物污染防治、生态环境监管能力建设等六大方面提出工程项目，详见表7</w:t>
      </w:r>
      <w:r>
        <w:rPr>
          <w:rFonts w:hint="eastAsia" w:ascii="Times New Roman" w:hAnsi="Times New Roman" w:eastAsia="仿宋_GB2312" w:cs="仿宋_GB2312"/>
          <w:caps w:val="0"/>
          <w:kern w:val="0"/>
          <w:sz w:val="32"/>
          <w:szCs w:val="32"/>
        </w:rPr>
        <w:t>-</w:t>
      </w:r>
      <w:r>
        <w:rPr>
          <w:rFonts w:ascii="Times New Roman" w:hAnsi="Times New Roman"/>
          <w:caps w:val="0"/>
          <w:kern w:val="0"/>
          <w:sz w:val="32"/>
          <w:szCs w:val="32"/>
        </w:rPr>
        <w:t>1。</w:t>
      </w:r>
    </w:p>
    <w:p>
      <w:pPr>
        <w:spacing w:line="360" w:lineRule="auto"/>
        <w:jc w:val="center"/>
        <w:rPr>
          <w:rFonts w:hint="eastAsia" w:ascii="Times New Roman" w:hAnsi="Times New Roman" w:eastAsia="黑体" w:cs="黑体"/>
          <w:caps w:val="0"/>
          <w:sz w:val="32"/>
          <w:szCs w:val="32"/>
        </w:rPr>
      </w:pPr>
      <w:bookmarkStart w:id="186" w:name="_Toc362448508"/>
      <w:r>
        <w:rPr>
          <w:rFonts w:hint="eastAsia" w:ascii="Times New Roman" w:hAnsi="Times New Roman" w:eastAsia="黑体" w:cs="黑体"/>
          <w:caps w:val="0"/>
          <w:sz w:val="32"/>
          <w:szCs w:val="32"/>
        </w:rPr>
        <w:t>表7</w:t>
      </w:r>
      <w:r>
        <w:rPr>
          <w:rFonts w:hint="eastAsia" w:ascii="Times New Roman" w:hAnsi="Times New Roman" w:eastAsia="仿宋_GB2312" w:cs="仿宋_GB2312"/>
          <w:caps w:val="0"/>
          <w:sz w:val="32"/>
          <w:szCs w:val="32"/>
        </w:rPr>
        <w:t>-</w:t>
      </w:r>
      <w:r>
        <w:rPr>
          <w:rFonts w:hint="eastAsia" w:ascii="Times New Roman" w:hAnsi="Times New Roman" w:eastAsia="黑体" w:cs="黑体"/>
          <w:caps w:val="0"/>
          <w:sz w:val="32"/>
          <w:szCs w:val="32"/>
        </w:rPr>
        <w:t>1  花都区环境保护重点建设工程项目表</w:t>
      </w:r>
    </w:p>
    <w:tbl>
      <w:tblPr>
        <w:tblStyle w:val="20"/>
        <w:tblW w:w="9482" w:type="dxa"/>
        <w:tblInd w:w="-3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858"/>
        <w:gridCol w:w="875"/>
        <w:gridCol w:w="3445"/>
        <w:gridCol w:w="1486"/>
        <w:gridCol w:w="1410"/>
        <w:gridCol w:w="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trPr>
        <w:tc>
          <w:tcPr>
            <w:tcW w:w="565" w:type="dxa"/>
            <w:vAlign w:val="center"/>
          </w:tcPr>
          <w:p>
            <w:pPr>
              <w:widowControl/>
              <w:wordWrap/>
              <w:snapToGrid/>
              <w:spacing w:line="320" w:lineRule="exact"/>
              <w:jc w:val="center"/>
              <w:textAlignment w:val="auto"/>
              <w:rPr>
                <w:rFonts w:hint="eastAsia" w:ascii="Times New Roman" w:hAnsi="Times New Roman" w:eastAsia="黑体" w:cs="黑体"/>
                <w:b w:val="0"/>
                <w:bCs w:val="0"/>
                <w:caps w:val="0"/>
                <w:kern w:val="0"/>
                <w:sz w:val="24"/>
                <w:szCs w:val="24"/>
              </w:rPr>
            </w:pPr>
            <w:r>
              <w:rPr>
                <w:rFonts w:hint="eastAsia" w:ascii="Times New Roman" w:hAnsi="Times New Roman" w:eastAsia="黑体" w:cs="黑体"/>
                <w:b w:val="0"/>
                <w:bCs w:val="0"/>
                <w:caps w:val="0"/>
                <w:kern w:val="0"/>
                <w:sz w:val="24"/>
                <w:szCs w:val="24"/>
              </w:rPr>
              <w:t>序号</w:t>
            </w:r>
          </w:p>
        </w:tc>
        <w:tc>
          <w:tcPr>
            <w:tcW w:w="858" w:type="dxa"/>
            <w:vAlign w:val="center"/>
          </w:tcPr>
          <w:p>
            <w:pPr>
              <w:widowControl/>
              <w:wordWrap/>
              <w:snapToGrid/>
              <w:spacing w:line="320" w:lineRule="exact"/>
              <w:jc w:val="center"/>
              <w:textAlignment w:val="auto"/>
              <w:rPr>
                <w:rFonts w:hint="eastAsia" w:ascii="Times New Roman" w:hAnsi="Times New Roman" w:eastAsia="黑体" w:cs="黑体"/>
                <w:b w:val="0"/>
                <w:bCs w:val="0"/>
                <w:caps w:val="0"/>
                <w:kern w:val="0"/>
                <w:sz w:val="24"/>
                <w:szCs w:val="24"/>
              </w:rPr>
            </w:pPr>
            <w:r>
              <w:rPr>
                <w:rFonts w:hint="eastAsia" w:ascii="Times New Roman" w:hAnsi="Times New Roman" w:eastAsia="黑体" w:cs="黑体"/>
                <w:b w:val="0"/>
                <w:bCs w:val="0"/>
                <w:caps w:val="0"/>
                <w:kern w:val="0"/>
                <w:sz w:val="24"/>
                <w:szCs w:val="24"/>
              </w:rPr>
              <w:t>项目类型</w:t>
            </w:r>
          </w:p>
        </w:tc>
        <w:tc>
          <w:tcPr>
            <w:tcW w:w="875" w:type="dxa"/>
            <w:vAlign w:val="center"/>
          </w:tcPr>
          <w:p>
            <w:pPr>
              <w:widowControl/>
              <w:wordWrap/>
              <w:snapToGrid/>
              <w:spacing w:line="320" w:lineRule="exact"/>
              <w:jc w:val="center"/>
              <w:textAlignment w:val="auto"/>
              <w:rPr>
                <w:rFonts w:hint="eastAsia" w:ascii="Times New Roman" w:hAnsi="Times New Roman" w:eastAsia="黑体" w:cs="黑体"/>
                <w:b w:val="0"/>
                <w:bCs w:val="0"/>
                <w:caps w:val="0"/>
                <w:kern w:val="0"/>
                <w:sz w:val="24"/>
                <w:szCs w:val="24"/>
              </w:rPr>
            </w:pPr>
            <w:r>
              <w:rPr>
                <w:rFonts w:hint="eastAsia" w:ascii="Times New Roman" w:hAnsi="Times New Roman" w:eastAsia="黑体" w:cs="黑体"/>
                <w:b w:val="0"/>
                <w:bCs w:val="0"/>
                <w:caps w:val="0"/>
                <w:kern w:val="0"/>
                <w:sz w:val="24"/>
                <w:szCs w:val="24"/>
              </w:rPr>
              <w:t>项目名称</w:t>
            </w:r>
          </w:p>
        </w:tc>
        <w:tc>
          <w:tcPr>
            <w:tcW w:w="3445" w:type="dxa"/>
            <w:vAlign w:val="center"/>
          </w:tcPr>
          <w:p>
            <w:pPr>
              <w:widowControl/>
              <w:wordWrap/>
              <w:snapToGrid/>
              <w:spacing w:line="320" w:lineRule="exact"/>
              <w:jc w:val="center"/>
              <w:textAlignment w:val="auto"/>
              <w:rPr>
                <w:rFonts w:hint="eastAsia" w:ascii="Times New Roman" w:hAnsi="Times New Roman" w:eastAsia="黑体" w:cs="黑体"/>
                <w:b w:val="0"/>
                <w:bCs w:val="0"/>
                <w:caps w:val="0"/>
                <w:kern w:val="0"/>
                <w:sz w:val="24"/>
                <w:szCs w:val="24"/>
              </w:rPr>
            </w:pPr>
            <w:r>
              <w:rPr>
                <w:rFonts w:hint="eastAsia" w:ascii="Times New Roman" w:hAnsi="Times New Roman" w:eastAsia="黑体" w:cs="黑体"/>
                <w:b w:val="0"/>
                <w:bCs w:val="0"/>
                <w:caps w:val="0"/>
                <w:kern w:val="0"/>
                <w:sz w:val="24"/>
                <w:szCs w:val="24"/>
              </w:rPr>
              <w:t>工程内容及规模</w:t>
            </w:r>
          </w:p>
        </w:tc>
        <w:tc>
          <w:tcPr>
            <w:tcW w:w="1486" w:type="dxa"/>
            <w:vAlign w:val="center"/>
          </w:tcPr>
          <w:p>
            <w:pPr>
              <w:widowControl/>
              <w:wordWrap/>
              <w:snapToGrid/>
              <w:spacing w:line="320" w:lineRule="exact"/>
              <w:jc w:val="center"/>
              <w:textAlignment w:val="auto"/>
              <w:rPr>
                <w:rFonts w:hint="eastAsia" w:ascii="Times New Roman" w:hAnsi="Times New Roman" w:eastAsia="黑体" w:cs="黑体"/>
                <w:b w:val="0"/>
                <w:bCs w:val="0"/>
                <w:caps w:val="0"/>
                <w:kern w:val="0"/>
                <w:sz w:val="24"/>
                <w:szCs w:val="24"/>
              </w:rPr>
            </w:pPr>
            <w:r>
              <w:rPr>
                <w:rFonts w:hint="eastAsia" w:ascii="Times New Roman" w:hAnsi="Times New Roman" w:eastAsia="黑体" w:cs="黑体"/>
                <w:b w:val="0"/>
                <w:bCs w:val="0"/>
                <w:caps w:val="0"/>
                <w:kern w:val="0"/>
                <w:sz w:val="24"/>
                <w:szCs w:val="24"/>
              </w:rPr>
              <w:t>投资估算</w:t>
            </w:r>
          </w:p>
        </w:tc>
        <w:tc>
          <w:tcPr>
            <w:tcW w:w="1410" w:type="dxa"/>
            <w:vAlign w:val="center"/>
          </w:tcPr>
          <w:p>
            <w:pPr>
              <w:widowControl/>
              <w:wordWrap/>
              <w:snapToGrid/>
              <w:spacing w:line="320" w:lineRule="exact"/>
              <w:jc w:val="center"/>
              <w:textAlignment w:val="auto"/>
              <w:rPr>
                <w:rFonts w:hint="eastAsia" w:ascii="Times New Roman" w:hAnsi="Times New Roman" w:eastAsia="黑体" w:cs="黑体"/>
                <w:b w:val="0"/>
                <w:bCs w:val="0"/>
                <w:caps w:val="0"/>
                <w:kern w:val="0"/>
                <w:sz w:val="24"/>
                <w:szCs w:val="24"/>
              </w:rPr>
            </w:pPr>
            <w:r>
              <w:rPr>
                <w:rFonts w:hint="eastAsia" w:ascii="Times New Roman" w:hAnsi="Times New Roman" w:eastAsia="黑体" w:cs="黑体"/>
                <w:b w:val="0"/>
                <w:bCs w:val="0"/>
                <w:caps w:val="0"/>
                <w:kern w:val="0"/>
                <w:sz w:val="24"/>
                <w:szCs w:val="24"/>
              </w:rPr>
              <w:t>预计完成</w:t>
            </w:r>
          </w:p>
          <w:p>
            <w:pPr>
              <w:widowControl/>
              <w:wordWrap/>
              <w:snapToGrid/>
              <w:spacing w:line="320" w:lineRule="exact"/>
              <w:jc w:val="center"/>
              <w:textAlignment w:val="auto"/>
              <w:rPr>
                <w:rFonts w:hint="eastAsia" w:ascii="Times New Roman" w:hAnsi="Times New Roman" w:eastAsia="黑体" w:cs="黑体"/>
                <w:b w:val="0"/>
                <w:bCs w:val="0"/>
                <w:caps w:val="0"/>
                <w:kern w:val="0"/>
                <w:sz w:val="24"/>
                <w:szCs w:val="24"/>
              </w:rPr>
            </w:pPr>
            <w:r>
              <w:rPr>
                <w:rFonts w:hint="eastAsia" w:ascii="Times New Roman" w:hAnsi="Times New Roman" w:eastAsia="黑体" w:cs="黑体"/>
                <w:b w:val="0"/>
                <w:bCs w:val="0"/>
                <w:caps w:val="0"/>
                <w:kern w:val="0"/>
                <w:sz w:val="24"/>
                <w:szCs w:val="24"/>
              </w:rPr>
              <w:t>年限</w:t>
            </w:r>
          </w:p>
        </w:tc>
        <w:tc>
          <w:tcPr>
            <w:tcW w:w="843" w:type="dxa"/>
            <w:vAlign w:val="center"/>
          </w:tcPr>
          <w:p>
            <w:pPr>
              <w:widowControl/>
              <w:wordWrap/>
              <w:snapToGrid/>
              <w:spacing w:line="320" w:lineRule="exact"/>
              <w:jc w:val="center"/>
              <w:textAlignment w:val="auto"/>
              <w:rPr>
                <w:rFonts w:hint="eastAsia" w:ascii="Times New Roman" w:hAnsi="Times New Roman" w:eastAsia="黑体" w:cs="黑体"/>
                <w:b w:val="0"/>
                <w:bCs w:val="0"/>
                <w:caps w:val="0"/>
                <w:kern w:val="0"/>
                <w:sz w:val="24"/>
                <w:szCs w:val="24"/>
              </w:rPr>
            </w:pPr>
            <w:r>
              <w:rPr>
                <w:rFonts w:hint="eastAsia" w:ascii="Times New Roman" w:hAnsi="Times New Roman" w:eastAsia="黑体" w:cs="黑体"/>
                <w:b w:val="0"/>
                <w:bCs w:val="0"/>
                <w:caps w:val="0"/>
                <w:kern w:val="0"/>
                <w:sz w:val="24"/>
                <w:szCs w:val="24"/>
              </w:rPr>
              <w:t>牵头单位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2" w:hRule="atLeast"/>
        </w:trPr>
        <w:tc>
          <w:tcPr>
            <w:tcW w:w="565" w:type="dxa"/>
            <w:vAlign w:val="center"/>
          </w:tcPr>
          <w:p>
            <w:pPr>
              <w:widowControl/>
              <w:numPr>
                <w:ilvl w:val="0"/>
                <w:numId w:val="1"/>
              </w:numPr>
              <w:wordWrap/>
              <w:snapToGrid/>
              <w:spacing w:line="320" w:lineRule="exact"/>
              <w:jc w:val="center"/>
              <w:textAlignment w:val="auto"/>
              <w:rPr>
                <w:rFonts w:ascii="Times New Roman" w:hAnsi="Times New Roman" w:eastAsia="宋体"/>
                <w:caps w:val="0"/>
                <w:kern w:val="21"/>
                <w:sz w:val="21"/>
                <w:szCs w:val="21"/>
              </w:rPr>
            </w:pPr>
          </w:p>
        </w:tc>
        <w:tc>
          <w:tcPr>
            <w:tcW w:w="858" w:type="dxa"/>
            <w:vMerge w:val="restart"/>
            <w:vAlign w:val="center"/>
          </w:tcPr>
          <w:p>
            <w:pPr>
              <w:widowControl/>
              <w:wordWrap/>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水环境与水资源保护工程</w:t>
            </w:r>
          </w:p>
        </w:tc>
        <w:tc>
          <w:tcPr>
            <w:tcW w:w="875" w:type="dxa"/>
            <w:vMerge w:val="restart"/>
            <w:vAlign w:val="center"/>
          </w:tcPr>
          <w:p>
            <w:pPr>
              <w:widowControl/>
              <w:wordWrap/>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城区合流渠箱清污分流工程</w:t>
            </w:r>
          </w:p>
        </w:tc>
        <w:tc>
          <w:tcPr>
            <w:tcW w:w="3445" w:type="dxa"/>
            <w:vAlign w:val="center"/>
          </w:tcPr>
          <w:p>
            <w:pPr>
              <w:widowControl/>
              <w:wordWrap/>
              <w:snapToGrid/>
              <w:spacing w:line="320" w:lineRule="exact"/>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迎宾大道渠箱、凤凰路方渠（迎宾大道～雅瑶涌）、桂花路渠箱（三东大道～迎宾大道）、桂花路渠箱（迎宾大道～田美河）、商业大道渠箱（云山大道-迎宾大道）、云山大道渠箱（商业大道路口）合流渠箱清污分流工程。新建d300～d800污水管长约37.17km，新建d500雨水管0.012km，增设渠箱检修井93座，场地与作业面清理11860.09m</w:t>
            </w:r>
            <w:r>
              <w:rPr>
                <w:rFonts w:ascii="Times New Roman" w:hAnsi="Times New Roman" w:eastAsia="宋体"/>
                <w:caps w:val="0"/>
                <w:kern w:val="21"/>
                <w:sz w:val="21"/>
                <w:szCs w:val="21"/>
                <w:vertAlign w:val="superscript"/>
              </w:rPr>
              <w:t>3</w:t>
            </w:r>
            <w:r>
              <w:rPr>
                <w:rFonts w:ascii="Times New Roman" w:hAnsi="Times New Roman" w:eastAsia="宋体"/>
                <w:caps w:val="0"/>
                <w:kern w:val="21"/>
                <w:sz w:val="21"/>
                <w:szCs w:val="21"/>
              </w:rPr>
              <w:t>。</w:t>
            </w:r>
          </w:p>
        </w:tc>
        <w:tc>
          <w:tcPr>
            <w:tcW w:w="1486" w:type="dxa"/>
            <w:vAlign w:val="center"/>
          </w:tcPr>
          <w:p>
            <w:pPr>
              <w:widowControl/>
              <w:wordWrap/>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34154.24万元</w:t>
            </w:r>
          </w:p>
        </w:tc>
        <w:tc>
          <w:tcPr>
            <w:tcW w:w="1410" w:type="dxa"/>
            <w:vAlign w:val="center"/>
          </w:tcPr>
          <w:p>
            <w:pPr>
              <w:widowControl/>
              <w:wordWrap/>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2023年</w:t>
            </w:r>
          </w:p>
          <w:p>
            <w:pPr>
              <w:widowControl/>
              <w:wordWrap/>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完成</w:t>
            </w:r>
          </w:p>
        </w:tc>
        <w:tc>
          <w:tcPr>
            <w:tcW w:w="843" w:type="dxa"/>
            <w:vAlign w:val="center"/>
          </w:tcPr>
          <w:p>
            <w:pPr>
              <w:widowControl/>
              <w:wordWrap/>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区</w:t>
            </w:r>
          </w:p>
          <w:p>
            <w:pPr>
              <w:widowControl/>
              <w:wordWrap/>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水</w:t>
            </w:r>
          </w:p>
          <w:p>
            <w:pPr>
              <w:widowControl/>
              <w:wordWrap/>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务</w:t>
            </w:r>
          </w:p>
          <w:p>
            <w:pPr>
              <w:widowControl/>
              <w:wordWrap/>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9" w:hRule="atLeast"/>
        </w:trPr>
        <w:tc>
          <w:tcPr>
            <w:tcW w:w="565" w:type="dxa"/>
            <w:vAlign w:val="center"/>
          </w:tcPr>
          <w:p>
            <w:pPr>
              <w:widowControl/>
              <w:numPr>
                <w:ilvl w:val="0"/>
                <w:numId w:val="1"/>
              </w:numPr>
              <w:wordWrap/>
              <w:snapToGrid/>
              <w:spacing w:line="320" w:lineRule="exact"/>
              <w:jc w:val="center"/>
              <w:textAlignment w:val="auto"/>
              <w:rPr>
                <w:rFonts w:ascii="Times New Roman" w:hAnsi="Times New Roman" w:eastAsia="宋体"/>
                <w:caps w:val="0"/>
                <w:kern w:val="21"/>
                <w:sz w:val="21"/>
                <w:szCs w:val="21"/>
              </w:rPr>
            </w:pPr>
          </w:p>
        </w:tc>
        <w:tc>
          <w:tcPr>
            <w:tcW w:w="858" w:type="dxa"/>
            <w:vMerge w:val="continue"/>
            <w:vAlign w:val="center"/>
          </w:tcPr>
          <w:p>
            <w:pPr>
              <w:widowControl/>
              <w:wordWrap/>
              <w:snapToGrid/>
              <w:spacing w:line="320" w:lineRule="exact"/>
              <w:jc w:val="center"/>
              <w:textAlignment w:val="auto"/>
              <w:rPr>
                <w:rFonts w:ascii="Times New Roman" w:hAnsi="Times New Roman" w:eastAsia="宋体"/>
                <w:caps w:val="0"/>
                <w:kern w:val="21"/>
                <w:sz w:val="21"/>
                <w:szCs w:val="21"/>
              </w:rPr>
            </w:pPr>
          </w:p>
        </w:tc>
        <w:tc>
          <w:tcPr>
            <w:tcW w:w="875" w:type="dxa"/>
            <w:vMerge w:val="continue"/>
            <w:vAlign w:val="center"/>
          </w:tcPr>
          <w:p>
            <w:pPr>
              <w:widowControl/>
              <w:wordWrap/>
              <w:snapToGrid/>
              <w:spacing w:line="320" w:lineRule="exact"/>
              <w:jc w:val="center"/>
              <w:textAlignment w:val="auto"/>
              <w:rPr>
                <w:rFonts w:ascii="Times New Roman" w:hAnsi="Times New Roman" w:eastAsia="宋体"/>
                <w:caps w:val="0"/>
                <w:kern w:val="21"/>
                <w:sz w:val="21"/>
                <w:szCs w:val="21"/>
              </w:rPr>
            </w:pPr>
          </w:p>
        </w:tc>
        <w:tc>
          <w:tcPr>
            <w:tcW w:w="3445" w:type="dxa"/>
            <w:vAlign w:val="center"/>
          </w:tcPr>
          <w:p>
            <w:pPr>
              <w:widowControl/>
              <w:wordWrap/>
              <w:snapToGrid/>
              <w:spacing w:line="320" w:lineRule="exact"/>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玉棠路方渠（风神大道～瑞云路）、松园片区、新街大道方渠（工业大道～广清高速桥底）、镜湖大道（清石河～邦一工业园）、凤凰路方渠（污水所～雅瑶中路）、镜湖大道（凤凰南路～老广华公路）合流渠箱清污分流工程。新建、改造污水管管径 d400～d800，总长 29.05km。同时对暗渠进行清淤，修复暗渠现状结构性及功能性缺陷，暗渠清疏量 13711.6m</w:t>
            </w:r>
            <w:r>
              <w:rPr>
                <w:rFonts w:ascii="Times New Roman" w:hAnsi="Times New Roman" w:eastAsia="宋体"/>
                <w:caps w:val="0"/>
                <w:kern w:val="21"/>
                <w:sz w:val="21"/>
                <w:szCs w:val="21"/>
                <w:vertAlign w:val="superscript"/>
              </w:rPr>
              <w:t>3</w:t>
            </w:r>
            <w:r>
              <w:rPr>
                <w:rFonts w:ascii="Times New Roman" w:hAnsi="Times New Roman" w:eastAsia="宋体"/>
                <w:caps w:val="0"/>
                <w:kern w:val="21"/>
                <w:sz w:val="21"/>
                <w:szCs w:val="21"/>
              </w:rPr>
              <w:t>。</w:t>
            </w:r>
          </w:p>
        </w:tc>
        <w:tc>
          <w:tcPr>
            <w:tcW w:w="1486" w:type="dxa"/>
            <w:vAlign w:val="center"/>
          </w:tcPr>
          <w:p>
            <w:pPr>
              <w:widowControl/>
              <w:wordWrap/>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29511.54万元</w:t>
            </w:r>
          </w:p>
        </w:tc>
        <w:tc>
          <w:tcPr>
            <w:tcW w:w="1410" w:type="dxa"/>
            <w:vAlign w:val="center"/>
          </w:tcPr>
          <w:p>
            <w:pPr>
              <w:widowControl/>
              <w:wordWrap/>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2022年</w:t>
            </w:r>
          </w:p>
          <w:p>
            <w:pPr>
              <w:widowControl/>
              <w:wordWrap/>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完成</w:t>
            </w:r>
          </w:p>
        </w:tc>
        <w:tc>
          <w:tcPr>
            <w:tcW w:w="843" w:type="dxa"/>
            <w:vAlign w:val="center"/>
          </w:tcPr>
          <w:p>
            <w:pPr>
              <w:widowControl/>
              <w:wordWrap/>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区</w:t>
            </w:r>
          </w:p>
          <w:p>
            <w:pPr>
              <w:widowControl/>
              <w:wordWrap/>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水</w:t>
            </w:r>
          </w:p>
          <w:p>
            <w:pPr>
              <w:widowControl/>
              <w:wordWrap/>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务</w:t>
            </w:r>
          </w:p>
          <w:p>
            <w:pPr>
              <w:widowControl/>
              <w:wordWrap/>
              <w:snapToGrid/>
              <w:spacing w:line="320" w:lineRule="exact"/>
              <w:jc w:val="center"/>
              <w:textAlignment w:val="auto"/>
              <w:rPr>
                <w:rFonts w:ascii="Times New Roman" w:hAnsi="Times New Roman" w:eastAsia="宋体"/>
                <w:caps w:val="0"/>
                <w:kern w:val="21"/>
                <w:sz w:val="21"/>
                <w:szCs w:val="21"/>
              </w:rPr>
            </w:pPr>
            <w:r>
              <w:rPr>
                <w:rFonts w:ascii="Times New Roman" w:hAnsi="Times New Roman" w:eastAsia="宋体"/>
                <w:caps w:val="0"/>
                <w:kern w:val="21"/>
                <w:sz w:val="21"/>
                <w:szCs w:val="21"/>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trPr>
        <w:tc>
          <w:tcPr>
            <w:tcW w:w="565" w:type="dxa"/>
            <w:vAlign w:val="center"/>
          </w:tcPr>
          <w:p>
            <w:pPr>
              <w:widowControl/>
              <w:numPr>
                <w:ilvl w:val="0"/>
                <w:numId w:val="1"/>
              </w:numPr>
              <w:wordWrap/>
              <w:snapToGrid/>
              <w:spacing w:line="320" w:lineRule="exact"/>
              <w:jc w:val="center"/>
              <w:textAlignment w:val="auto"/>
              <w:rPr>
                <w:rFonts w:ascii="Times New Roman" w:hAnsi="Times New Roman" w:eastAsia="宋体"/>
                <w:caps w:val="0"/>
                <w:kern w:val="0"/>
                <w:sz w:val="21"/>
                <w:szCs w:val="21"/>
              </w:rPr>
            </w:pPr>
          </w:p>
        </w:tc>
        <w:tc>
          <w:tcPr>
            <w:tcW w:w="858" w:type="dxa"/>
            <w:vMerge w:val="restart"/>
            <w:vAlign w:val="center"/>
          </w:tcPr>
          <w:p>
            <w:pPr>
              <w:widowControl/>
              <w:wordWrap/>
              <w:snapToGrid/>
              <w:spacing w:line="320" w:lineRule="exact"/>
              <w:jc w:val="center"/>
              <w:textAlignment w:val="auto"/>
              <w:rPr>
                <w:rFonts w:ascii="Times New Roman" w:hAnsi="Times New Roman" w:eastAsia="宋体" w:cs="Times New Roman"/>
                <w:caps w:val="0"/>
                <w:kern w:val="0"/>
                <w:sz w:val="21"/>
                <w:szCs w:val="21"/>
                <w:lang w:val="en-US" w:eastAsia="zh-CN" w:bidi="ar-SA"/>
              </w:rPr>
            </w:pPr>
            <w:r>
              <w:rPr>
                <w:rFonts w:ascii="Times New Roman" w:hAnsi="Times New Roman" w:eastAsia="宋体"/>
                <w:caps w:val="0"/>
                <w:kern w:val="0"/>
                <w:sz w:val="21"/>
                <w:szCs w:val="21"/>
              </w:rPr>
              <w:t>水环境与水资源保护工程</w:t>
            </w:r>
          </w:p>
        </w:tc>
        <w:tc>
          <w:tcPr>
            <w:tcW w:w="875" w:type="dxa"/>
            <w:vMerge w:val="restart"/>
            <w:vAlign w:val="center"/>
          </w:tcPr>
          <w:p>
            <w:pPr>
              <w:widowControl/>
              <w:wordWrap/>
              <w:snapToGrid/>
              <w:spacing w:line="320" w:lineRule="exact"/>
              <w:jc w:val="center"/>
              <w:textAlignment w:val="auto"/>
              <w:rPr>
                <w:rFonts w:ascii="Times New Roman" w:hAnsi="Times New Roman" w:eastAsia="宋体" w:cs="Times New Roman"/>
                <w:caps w:val="0"/>
                <w:kern w:val="0"/>
                <w:sz w:val="21"/>
                <w:szCs w:val="21"/>
                <w:lang w:val="en-US" w:eastAsia="zh-CN" w:bidi="ar-SA"/>
              </w:rPr>
            </w:pPr>
            <w:r>
              <w:rPr>
                <w:rFonts w:ascii="Times New Roman" w:hAnsi="Times New Roman" w:eastAsia="宋体"/>
                <w:caps w:val="0"/>
                <w:kern w:val="0"/>
                <w:sz w:val="21"/>
                <w:szCs w:val="21"/>
              </w:rPr>
              <w:t>城区合流渠箱清污分流工程</w:t>
            </w:r>
          </w:p>
        </w:tc>
        <w:tc>
          <w:tcPr>
            <w:tcW w:w="3445" w:type="dxa"/>
            <w:vAlign w:val="center"/>
          </w:tcPr>
          <w:p>
            <w:pPr>
              <w:widowControl/>
              <w:wordWrap/>
              <w:snapToGrid/>
              <w:spacing w:line="320" w:lineRule="exact"/>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七米方渠清污分流工程。拟建污水管总长约19.40km，错接整改管道长度 1.12km，新增污水管道d400</w:t>
            </w:r>
            <w:r>
              <w:rPr>
                <w:rFonts w:hint="eastAsia" w:ascii="Times New Roman" w:hAnsi="Times New Roman" w:eastAsia="宋体" w:cs="仿宋_GB2312"/>
                <w:caps w:val="0"/>
                <w:kern w:val="0"/>
                <w:sz w:val="21"/>
                <w:szCs w:val="21"/>
              </w:rPr>
              <w:t>-</w:t>
            </w:r>
            <w:r>
              <w:rPr>
                <w:rFonts w:ascii="Times New Roman" w:hAnsi="Times New Roman" w:eastAsia="宋体"/>
                <w:caps w:val="0"/>
                <w:kern w:val="0"/>
                <w:sz w:val="21"/>
                <w:szCs w:val="21"/>
              </w:rPr>
              <w:t>d800总长20.52km，修复现状结构性及功能性缺陷。</w:t>
            </w:r>
          </w:p>
        </w:tc>
        <w:tc>
          <w:tcPr>
            <w:tcW w:w="1486" w:type="dxa"/>
            <w:vAlign w:val="center"/>
          </w:tcPr>
          <w:p>
            <w:pPr>
              <w:widowControl/>
              <w:wordWrap/>
              <w:snapToGrid/>
              <w:spacing w:line="320" w:lineRule="exact"/>
              <w:jc w:val="center"/>
              <w:textAlignment w:val="auto"/>
              <w:rPr>
                <w:rFonts w:ascii="Times New Roman" w:hAnsi="Times New Roman" w:eastAsia="宋体"/>
                <w:caps w:val="0"/>
                <w:sz w:val="21"/>
                <w:szCs w:val="21"/>
              </w:rPr>
            </w:pPr>
            <w:r>
              <w:rPr>
                <w:rFonts w:ascii="Times New Roman" w:hAnsi="Times New Roman" w:eastAsia="宋体"/>
                <w:caps w:val="0"/>
                <w:sz w:val="21"/>
                <w:szCs w:val="21"/>
              </w:rPr>
              <w:t>26311.71万元</w:t>
            </w:r>
          </w:p>
        </w:tc>
        <w:tc>
          <w:tcPr>
            <w:tcW w:w="1410"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2022年</w:t>
            </w:r>
          </w:p>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完成</w:t>
            </w:r>
          </w:p>
        </w:tc>
        <w:tc>
          <w:tcPr>
            <w:tcW w:w="843"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区水</w:t>
            </w:r>
          </w:p>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trPr>
        <w:tc>
          <w:tcPr>
            <w:tcW w:w="565" w:type="dxa"/>
            <w:vAlign w:val="center"/>
          </w:tcPr>
          <w:p>
            <w:pPr>
              <w:widowControl/>
              <w:numPr>
                <w:ilvl w:val="0"/>
                <w:numId w:val="1"/>
              </w:numPr>
              <w:wordWrap/>
              <w:snapToGrid/>
              <w:spacing w:line="320" w:lineRule="exact"/>
              <w:jc w:val="center"/>
              <w:textAlignment w:val="auto"/>
              <w:rPr>
                <w:rFonts w:ascii="Times New Roman" w:hAnsi="Times New Roman" w:eastAsia="宋体"/>
                <w:caps w:val="0"/>
                <w:kern w:val="0"/>
                <w:sz w:val="21"/>
                <w:szCs w:val="21"/>
              </w:rPr>
            </w:pPr>
          </w:p>
        </w:tc>
        <w:tc>
          <w:tcPr>
            <w:tcW w:w="858" w:type="dxa"/>
            <w:vMerge w:val="continue"/>
            <w:vAlign w:val="center"/>
          </w:tcPr>
          <w:p>
            <w:pPr>
              <w:widowControl/>
              <w:wordWrap/>
              <w:snapToGrid/>
              <w:spacing w:line="320" w:lineRule="exact"/>
              <w:jc w:val="center"/>
              <w:textAlignment w:val="auto"/>
              <w:rPr>
                <w:rFonts w:ascii="Times New Roman" w:hAnsi="Times New Roman" w:eastAsia="宋体" w:cs="Times New Roman"/>
                <w:caps w:val="0"/>
                <w:kern w:val="0"/>
                <w:sz w:val="21"/>
                <w:szCs w:val="21"/>
                <w:lang w:val="en-US" w:eastAsia="zh-CN" w:bidi="ar-SA"/>
              </w:rPr>
            </w:pPr>
          </w:p>
        </w:tc>
        <w:tc>
          <w:tcPr>
            <w:tcW w:w="875" w:type="dxa"/>
            <w:vMerge w:val="continue"/>
            <w:vAlign w:val="center"/>
          </w:tcPr>
          <w:p>
            <w:pPr>
              <w:widowControl/>
              <w:wordWrap/>
              <w:snapToGrid/>
              <w:spacing w:line="320" w:lineRule="exact"/>
              <w:jc w:val="center"/>
              <w:textAlignment w:val="auto"/>
              <w:rPr>
                <w:rFonts w:ascii="Times New Roman" w:hAnsi="Times New Roman" w:eastAsia="宋体" w:cs="Times New Roman"/>
                <w:caps w:val="0"/>
                <w:kern w:val="0"/>
                <w:sz w:val="21"/>
                <w:szCs w:val="21"/>
                <w:lang w:val="en-US" w:eastAsia="zh-CN" w:bidi="ar-SA"/>
              </w:rPr>
            </w:pPr>
          </w:p>
        </w:tc>
        <w:tc>
          <w:tcPr>
            <w:tcW w:w="3445" w:type="dxa"/>
            <w:vAlign w:val="center"/>
          </w:tcPr>
          <w:p>
            <w:pPr>
              <w:widowControl/>
              <w:wordWrap/>
              <w:snapToGrid/>
              <w:spacing w:line="320" w:lineRule="exact"/>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迎宾大道渠箱（田美河</w:t>
            </w:r>
            <w:r>
              <w:rPr>
                <w:rFonts w:hint="eastAsia" w:ascii="Times New Roman" w:hAnsi="Times New Roman" w:eastAsia="宋体" w:cs="仿宋_GB2312"/>
                <w:caps w:val="0"/>
                <w:kern w:val="0"/>
                <w:sz w:val="21"/>
                <w:szCs w:val="21"/>
              </w:rPr>
              <w:t>-</w:t>
            </w:r>
            <w:r>
              <w:rPr>
                <w:rFonts w:ascii="Times New Roman" w:hAnsi="Times New Roman" w:eastAsia="宋体"/>
                <w:caps w:val="0"/>
                <w:kern w:val="0"/>
                <w:sz w:val="21"/>
                <w:szCs w:val="21"/>
              </w:rPr>
              <w:t>凤凰北路）、迎宾大道渠箱（茶园路</w:t>
            </w:r>
            <w:r>
              <w:rPr>
                <w:rFonts w:hint="eastAsia" w:ascii="Times New Roman" w:hAnsi="Times New Roman" w:eastAsia="宋体" w:cs="仿宋_GB2312"/>
                <w:caps w:val="0"/>
                <w:kern w:val="0"/>
                <w:sz w:val="21"/>
                <w:szCs w:val="21"/>
              </w:rPr>
              <w:t>-</w:t>
            </w:r>
            <w:r>
              <w:rPr>
                <w:rFonts w:ascii="Times New Roman" w:hAnsi="Times New Roman" w:eastAsia="宋体"/>
                <w:caps w:val="0"/>
                <w:kern w:val="0"/>
                <w:sz w:val="21"/>
                <w:szCs w:val="21"/>
              </w:rPr>
              <w:t>田美河）、迎宾大道渠箱（昊银凯莱酒店~商业大道）合流渠箱清污分流工程。新建市政配套污水管网24.9km。</w:t>
            </w:r>
          </w:p>
        </w:tc>
        <w:tc>
          <w:tcPr>
            <w:tcW w:w="1486" w:type="dxa"/>
            <w:vAlign w:val="center"/>
          </w:tcPr>
          <w:p>
            <w:pPr>
              <w:widowControl/>
              <w:wordWrap/>
              <w:snapToGrid/>
              <w:spacing w:line="320" w:lineRule="exact"/>
              <w:jc w:val="center"/>
              <w:textAlignment w:val="auto"/>
              <w:rPr>
                <w:rFonts w:ascii="Times New Roman" w:hAnsi="Times New Roman" w:eastAsia="宋体"/>
                <w:caps w:val="0"/>
                <w:sz w:val="21"/>
                <w:szCs w:val="21"/>
              </w:rPr>
            </w:pPr>
            <w:r>
              <w:rPr>
                <w:rFonts w:ascii="Times New Roman" w:hAnsi="Times New Roman" w:eastAsia="宋体"/>
                <w:caps w:val="0"/>
                <w:sz w:val="21"/>
                <w:szCs w:val="21"/>
              </w:rPr>
              <w:t>17500万元</w:t>
            </w:r>
          </w:p>
        </w:tc>
        <w:tc>
          <w:tcPr>
            <w:tcW w:w="1410"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2022年</w:t>
            </w:r>
          </w:p>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完成</w:t>
            </w:r>
          </w:p>
        </w:tc>
        <w:tc>
          <w:tcPr>
            <w:tcW w:w="843"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区水</w:t>
            </w:r>
          </w:p>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565" w:type="dxa"/>
            <w:vAlign w:val="center"/>
          </w:tcPr>
          <w:p>
            <w:pPr>
              <w:widowControl/>
              <w:numPr>
                <w:ilvl w:val="0"/>
                <w:numId w:val="1"/>
              </w:numPr>
              <w:wordWrap/>
              <w:snapToGrid/>
              <w:spacing w:line="320" w:lineRule="exact"/>
              <w:jc w:val="center"/>
              <w:textAlignment w:val="auto"/>
              <w:rPr>
                <w:rFonts w:ascii="Times New Roman" w:hAnsi="Times New Roman" w:eastAsia="宋体"/>
                <w:caps w:val="0"/>
                <w:kern w:val="0"/>
                <w:sz w:val="21"/>
                <w:szCs w:val="21"/>
              </w:rPr>
            </w:pPr>
          </w:p>
        </w:tc>
        <w:tc>
          <w:tcPr>
            <w:tcW w:w="858" w:type="dxa"/>
            <w:vMerge w:val="continue"/>
            <w:vAlign w:val="center"/>
          </w:tcPr>
          <w:p>
            <w:pPr>
              <w:widowControl/>
              <w:wordWrap/>
              <w:snapToGrid/>
              <w:spacing w:line="320" w:lineRule="exact"/>
              <w:jc w:val="center"/>
              <w:textAlignment w:val="auto"/>
              <w:rPr>
                <w:rFonts w:ascii="Times New Roman" w:hAnsi="Times New Roman" w:eastAsia="宋体"/>
                <w:caps w:val="0"/>
                <w:kern w:val="0"/>
                <w:sz w:val="21"/>
                <w:szCs w:val="21"/>
              </w:rPr>
            </w:pPr>
          </w:p>
        </w:tc>
        <w:tc>
          <w:tcPr>
            <w:tcW w:w="875"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支涌清污分流工程</w:t>
            </w:r>
          </w:p>
        </w:tc>
        <w:tc>
          <w:tcPr>
            <w:tcW w:w="3445" w:type="dxa"/>
            <w:vAlign w:val="center"/>
          </w:tcPr>
          <w:p>
            <w:pPr>
              <w:widowControl/>
              <w:wordWrap/>
              <w:snapToGrid/>
              <w:spacing w:line="320" w:lineRule="exact"/>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花都区杨二村河流域雨污分流工程。新建污水管5km。</w:t>
            </w:r>
          </w:p>
        </w:tc>
        <w:tc>
          <w:tcPr>
            <w:tcW w:w="1486"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3401万元</w:t>
            </w:r>
          </w:p>
        </w:tc>
        <w:tc>
          <w:tcPr>
            <w:tcW w:w="1410"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2021年</w:t>
            </w:r>
          </w:p>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完成</w:t>
            </w:r>
          </w:p>
        </w:tc>
        <w:tc>
          <w:tcPr>
            <w:tcW w:w="843"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区水</w:t>
            </w:r>
          </w:p>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trPr>
        <w:tc>
          <w:tcPr>
            <w:tcW w:w="565" w:type="dxa"/>
            <w:vAlign w:val="center"/>
          </w:tcPr>
          <w:p>
            <w:pPr>
              <w:widowControl/>
              <w:numPr>
                <w:ilvl w:val="0"/>
                <w:numId w:val="1"/>
              </w:numPr>
              <w:wordWrap/>
              <w:snapToGrid/>
              <w:spacing w:line="320" w:lineRule="exact"/>
              <w:jc w:val="center"/>
              <w:textAlignment w:val="auto"/>
              <w:rPr>
                <w:rFonts w:ascii="Times New Roman" w:hAnsi="Times New Roman" w:eastAsia="宋体"/>
                <w:caps w:val="0"/>
                <w:kern w:val="0"/>
                <w:sz w:val="21"/>
                <w:szCs w:val="21"/>
              </w:rPr>
            </w:pPr>
          </w:p>
        </w:tc>
        <w:tc>
          <w:tcPr>
            <w:tcW w:w="858" w:type="dxa"/>
            <w:vMerge w:val="continue"/>
            <w:vAlign w:val="center"/>
          </w:tcPr>
          <w:p>
            <w:pPr>
              <w:widowControl/>
              <w:wordWrap/>
              <w:snapToGrid/>
              <w:spacing w:line="320" w:lineRule="exact"/>
              <w:jc w:val="center"/>
              <w:textAlignment w:val="auto"/>
              <w:rPr>
                <w:rFonts w:ascii="Times New Roman" w:hAnsi="Times New Roman" w:eastAsia="宋体"/>
                <w:caps w:val="0"/>
                <w:kern w:val="0"/>
                <w:sz w:val="21"/>
                <w:szCs w:val="21"/>
              </w:rPr>
            </w:pPr>
          </w:p>
        </w:tc>
        <w:tc>
          <w:tcPr>
            <w:tcW w:w="875"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地表水水质自动监测网络建设</w:t>
            </w:r>
          </w:p>
        </w:tc>
        <w:tc>
          <w:tcPr>
            <w:tcW w:w="3445" w:type="dxa"/>
            <w:vAlign w:val="center"/>
          </w:tcPr>
          <w:p>
            <w:pPr>
              <w:widowControl/>
              <w:wordWrap/>
              <w:snapToGrid/>
              <w:spacing w:line="320" w:lineRule="exact"/>
              <w:jc w:val="left"/>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建设老山水水质自动监测站，完善河网水系和重点纳污河道水质自动监测站</w:t>
            </w:r>
          </w:p>
        </w:tc>
        <w:tc>
          <w:tcPr>
            <w:tcW w:w="1486"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170万元</w:t>
            </w:r>
          </w:p>
        </w:tc>
        <w:tc>
          <w:tcPr>
            <w:tcW w:w="1410"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2021年</w:t>
            </w:r>
          </w:p>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完成</w:t>
            </w:r>
          </w:p>
        </w:tc>
        <w:tc>
          <w:tcPr>
            <w:tcW w:w="843"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市生态环境局花都分局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565" w:type="dxa"/>
            <w:vAlign w:val="center"/>
          </w:tcPr>
          <w:p>
            <w:pPr>
              <w:widowControl/>
              <w:numPr>
                <w:ilvl w:val="0"/>
                <w:numId w:val="1"/>
              </w:numPr>
              <w:wordWrap/>
              <w:snapToGrid/>
              <w:spacing w:line="320" w:lineRule="exact"/>
              <w:jc w:val="center"/>
              <w:textAlignment w:val="auto"/>
              <w:rPr>
                <w:rFonts w:ascii="Times New Roman" w:hAnsi="Times New Roman" w:eastAsia="宋体"/>
                <w:caps w:val="0"/>
                <w:kern w:val="0"/>
                <w:sz w:val="21"/>
                <w:szCs w:val="21"/>
              </w:rPr>
            </w:pPr>
          </w:p>
        </w:tc>
        <w:tc>
          <w:tcPr>
            <w:tcW w:w="858" w:type="dxa"/>
            <w:vMerge w:val="continue"/>
            <w:vAlign w:val="center"/>
          </w:tcPr>
          <w:p>
            <w:pPr>
              <w:widowControl/>
              <w:wordWrap/>
              <w:snapToGrid/>
              <w:spacing w:line="320" w:lineRule="exact"/>
              <w:jc w:val="center"/>
              <w:textAlignment w:val="auto"/>
              <w:rPr>
                <w:rFonts w:ascii="Times New Roman" w:hAnsi="Times New Roman" w:eastAsia="宋体"/>
                <w:caps w:val="0"/>
                <w:kern w:val="0"/>
                <w:sz w:val="21"/>
                <w:szCs w:val="21"/>
              </w:rPr>
            </w:pPr>
          </w:p>
        </w:tc>
        <w:tc>
          <w:tcPr>
            <w:tcW w:w="875" w:type="dxa"/>
            <w:vMerge w:val="restart"/>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广州北江引水工程</w:t>
            </w:r>
          </w:p>
        </w:tc>
        <w:tc>
          <w:tcPr>
            <w:tcW w:w="3445" w:type="dxa"/>
            <w:vAlign w:val="center"/>
          </w:tcPr>
          <w:p>
            <w:pPr>
              <w:widowControl/>
              <w:wordWrap/>
              <w:snapToGrid/>
              <w:spacing w:line="320" w:lineRule="exact"/>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水源部分：</w:t>
            </w:r>
            <w:r>
              <w:rPr>
                <w:rFonts w:hint="eastAsia" w:ascii="Times New Roman" w:hAnsi="Times New Roman" w:eastAsia="宋体"/>
                <w:caps w:val="0"/>
                <w:kern w:val="0"/>
                <w:sz w:val="21"/>
                <w:szCs w:val="21"/>
              </w:rPr>
              <w:t>新建取水泵站，铺设输水管道引水至花都区新建水厂</w:t>
            </w:r>
          </w:p>
        </w:tc>
        <w:tc>
          <w:tcPr>
            <w:tcW w:w="1486"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总投资</w:t>
            </w:r>
          </w:p>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sz w:val="21"/>
                <w:szCs w:val="21"/>
              </w:rPr>
              <w:t>232983</w:t>
            </w:r>
            <w:r>
              <w:rPr>
                <w:rFonts w:ascii="Times New Roman" w:hAnsi="Times New Roman" w:eastAsia="宋体"/>
                <w:caps w:val="0"/>
                <w:kern w:val="0"/>
                <w:sz w:val="21"/>
                <w:szCs w:val="21"/>
              </w:rPr>
              <w:t>万元；</w:t>
            </w:r>
          </w:p>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“十四五”期间投资</w:t>
            </w:r>
            <w:r>
              <w:rPr>
                <w:rFonts w:ascii="Times New Roman" w:hAnsi="Times New Roman" w:eastAsia="宋体"/>
                <w:caps w:val="0"/>
                <w:sz w:val="21"/>
                <w:szCs w:val="21"/>
              </w:rPr>
              <w:t>140675万元</w:t>
            </w:r>
          </w:p>
        </w:tc>
        <w:tc>
          <w:tcPr>
            <w:tcW w:w="1410"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2023年</w:t>
            </w:r>
          </w:p>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完成</w:t>
            </w:r>
          </w:p>
        </w:tc>
        <w:tc>
          <w:tcPr>
            <w:tcW w:w="843"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区水</w:t>
            </w:r>
          </w:p>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trPr>
        <w:tc>
          <w:tcPr>
            <w:tcW w:w="565" w:type="dxa"/>
            <w:vAlign w:val="center"/>
          </w:tcPr>
          <w:p>
            <w:pPr>
              <w:widowControl/>
              <w:numPr>
                <w:ilvl w:val="0"/>
                <w:numId w:val="1"/>
              </w:numPr>
              <w:wordWrap/>
              <w:snapToGrid/>
              <w:spacing w:line="320" w:lineRule="exact"/>
              <w:jc w:val="center"/>
              <w:textAlignment w:val="auto"/>
              <w:rPr>
                <w:rFonts w:ascii="Times New Roman" w:hAnsi="Times New Roman" w:eastAsia="宋体"/>
                <w:caps w:val="0"/>
                <w:kern w:val="0"/>
                <w:sz w:val="21"/>
                <w:szCs w:val="21"/>
              </w:rPr>
            </w:pPr>
          </w:p>
        </w:tc>
        <w:tc>
          <w:tcPr>
            <w:tcW w:w="858" w:type="dxa"/>
            <w:vMerge w:val="continue"/>
            <w:vAlign w:val="center"/>
          </w:tcPr>
          <w:p>
            <w:pPr>
              <w:widowControl/>
              <w:wordWrap/>
              <w:snapToGrid/>
              <w:spacing w:line="320" w:lineRule="exact"/>
              <w:jc w:val="center"/>
              <w:textAlignment w:val="auto"/>
              <w:rPr>
                <w:rFonts w:ascii="Times New Roman" w:hAnsi="Times New Roman" w:eastAsia="宋体"/>
                <w:caps w:val="0"/>
                <w:kern w:val="0"/>
                <w:sz w:val="21"/>
                <w:szCs w:val="21"/>
              </w:rPr>
            </w:pPr>
          </w:p>
        </w:tc>
        <w:tc>
          <w:tcPr>
            <w:tcW w:w="875" w:type="dxa"/>
            <w:vMerge w:val="continue"/>
            <w:vAlign w:val="center"/>
          </w:tcPr>
          <w:p>
            <w:pPr>
              <w:widowControl/>
              <w:wordWrap/>
              <w:snapToGrid/>
              <w:spacing w:line="320" w:lineRule="exact"/>
              <w:jc w:val="center"/>
              <w:textAlignment w:val="auto"/>
              <w:rPr>
                <w:rFonts w:ascii="Times New Roman" w:hAnsi="Times New Roman" w:eastAsia="宋体"/>
                <w:caps w:val="0"/>
                <w:kern w:val="0"/>
                <w:sz w:val="21"/>
                <w:szCs w:val="21"/>
              </w:rPr>
            </w:pPr>
          </w:p>
        </w:tc>
        <w:tc>
          <w:tcPr>
            <w:tcW w:w="3445" w:type="dxa"/>
            <w:vAlign w:val="center"/>
          </w:tcPr>
          <w:p>
            <w:pPr>
              <w:widowControl/>
              <w:wordWrap/>
              <w:snapToGrid/>
              <w:spacing w:line="320" w:lineRule="exact"/>
              <w:textAlignment w:val="auto"/>
              <w:rPr>
                <w:rFonts w:ascii="Times New Roman" w:hAnsi="Times New Roman" w:eastAsia="宋体"/>
                <w:caps w:val="0"/>
                <w:kern w:val="0"/>
                <w:sz w:val="21"/>
                <w:szCs w:val="21"/>
              </w:rPr>
            </w:pPr>
            <w:r>
              <w:rPr>
                <w:rFonts w:hint="eastAsia" w:ascii="Times New Roman" w:hAnsi="Times New Roman" w:eastAsia="宋体"/>
                <w:caps w:val="0"/>
                <w:kern w:val="0"/>
                <w:sz w:val="21"/>
                <w:szCs w:val="21"/>
              </w:rPr>
              <w:t>花都水厂及配水管道工程部分：新建花都水厂，建设配水主管道、应急取水泵站及应急联通管道等。</w:t>
            </w:r>
          </w:p>
        </w:tc>
        <w:tc>
          <w:tcPr>
            <w:tcW w:w="1486" w:type="dxa"/>
            <w:vAlign w:val="center"/>
          </w:tcPr>
          <w:p>
            <w:pPr>
              <w:widowControl/>
              <w:wordWrap/>
              <w:snapToGrid/>
              <w:spacing w:line="320" w:lineRule="exact"/>
              <w:jc w:val="center"/>
              <w:textAlignment w:val="auto"/>
              <w:rPr>
                <w:rFonts w:hint="eastAsia" w:ascii="Times New Roman" w:hAnsi="Times New Roman" w:eastAsia="宋体"/>
                <w:caps w:val="0"/>
                <w:kern w:val="0"/>
                <w:sz w:val="21"/>
                <w:szCs w:val="21"/>
              </w:rPr>
            </w:pPr>
            <w:r>
              <w:rPr>
                <w:rFonts w:hint="eastAsia" w:ascii="Times New Roman" w:hAnsi="Times New Roman" w:eastAsia="宋体"/>
                <w:caps w:val="0"/>
                <w:kern w:val="0"/>
                <w:sz w:val="21"/>
                <w:szCs w:val="21"/>
              </w:rPr>
              <w:t>总投资144140.18万元；</w:t>
            </w:r>
          </w:p>
          <w:p>
            <w:pPr>
              <w:widowControl/>
              <w:wordWrap/>
              <w:snapToGrid/>
              <w:spacing w:line="320" w:lineRule="exact"/>
              <w:jc w:val="center"/>
              <w:textAlignment w:val="auto"/>
              <w:rPr>
                <w:rFonts w:ascii="Times New Roman" w:hAnsi="Times New Roman" w:eastAsia="宋体"/>
                <w:caps w:val="0"/>
                <w:kern w:val="0"/>
                <w:sz w:val="21"/>
                <w:szCs w:val="21"/>
              </w:rPr>
            </w:pPr>
            <w:r>
              <w:rPr>
                <w:rFonts w:hint="eastAsia" w:ascii="Times New Roman" w:hAnsi="Times New Roman" w:eastAsia="宋体"/>
                <w:caps w:val="0"/>
                <w:kern w:val="0"/>
                <w:sz w:val="21"/>
                <w:szCs w:val="21"/>
              </w:rPr>
              <w:t>“十四五”期间投资52926万元</w:t>
            </w:r>
          </w:p>
        </w:tc>
        <w:tc>
          <w:tcPr>
            <w:tcW w:w="1410"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2026年</w:t>
            </w:r>
          </w:p>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完成</w:t>
            </w:r>
          </w:p>
        </w:tc>
        <w:tc>
          <w:tcPr>
            <w:tcW w:w="843"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区水</w:t>
            </w:r>
          </w:p>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trPr>
        <w:tc>
          <w:tcPr>
            <w:tcW w:w="565" w:type="dxa"/>
            <w:vAlign w:val="center"/>
          </w:tcPr>
          <w:p>
            <w:pPr>
              <w:widowControl/>
              <w:numPr>
                <w:ilvl w:val="0"/>
                <w:numId w:val="1"/>
              </w:numPr>
              <w:wordWrap/>
              <w:snapToGrid/>
              <w:spacing w:line="320" w:lineRule="exact"/>
              <w:jc w:val="center"/>
              <w:textAlignment w:val="auto"/>
              <w:rPr>
                <w:rFonts w:ascii="Times New Roman" w:hAnsi="Times New Roman" w:eastAsia="宋体"/>
                <w:caps w:val="0"/>
                <w:kern w:val="0"/>
                <w:sz w:val="21"/>
                <w:szCs w:val="21"/>
              </w:rPr>
            </w:pPr>
          </w:p>
        </w:tc>
        <w:tc>
          <w:tcPr>
            <w:tcW w:w="858"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应对气候变化</w:t>
            </w:r>
          </w:p>
        </w:tc>
        <w:tc>
          <w:tcPr>
            <w:tcW w:w="875"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开展二氧化碳排放达峰行动</w:t>
            </w:r>
          </w:p>
        </w:tc>
        <w:tc>
          <w:tcPr>
            <w:tcW w:w="3445" w:type="dxa"/>
            <w:vAlign w:val="center"/>
          </w:tcPr>
          <w:p>
            <w:pPr>
              <w:widowControl/>
              <w:wordWrap/>
              <w:snapToGrid/>
              <w:spacing w:line="320" w:lineRule="exact"/>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实现花都区二氧化碳排放达峰。</w:t>
            </w:r>
          </w:p>
        </w:tc>
        <w:tc>
          <w:tcPr>
            <w:tcW w:w="1486"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hint="eastAsia" w:ascii="Times New Roman" w:hAnsi="Times New Roman" w:eastAsia="宋体"/>
                <w:caps w:val="0"/>
                <w:kern w:val="0"/>
                <w:sz w:val="21"/>
                <w:szCs w:val="21"/>
              </w:rPr>
              <w:t>/</w:t>
            </w:r>
          </w:p>
        </w:tc>
        <w:tc>
          <w:tcPr>
            <w:tcW w:w="1410"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2030年</w:t>
            </w:r>
          </w:p>
        </w:tc>
        <w:tc>
          <w:tcPr>
            <w:tcW w:w="843"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hint="eastAsia" w:ascii="Times New Roman" w:hAnsi="Times New Roman" w:eastAsia="宋体"/>
                <w:caps w:val="0"/>
                <w:kern w:val="0"/>
                <w:sz w:val="21"/>
                <w:szCs w:val="21"/>
              </w:rPr>
              <w:t>区发展改革局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8" w:hRule="atLeast"/>
        </w:trPr>
        <w:tc>
          <w:tcPr>
            <w:tcW w:w="565" w:type="dxa"/>
            <w:vAlign w:val="center"/>
          </w:tcPr>
          <w:p>
            <w:pPr>
              <w:widowControl/>
              <w:numPr>
                <w:ilvl w:val="0"/>
                <w:numId w:val="1"/>
              </w:numPr>
              <w:wordWrap/>
              <w:snapToGrid/>
              <w:spacing w:line="320" w:lineRule="exact"/>
              <w:jc w:val="center"/>
              <w:textAlignment w:val="auto"/>
              <w:rPr>
                <w:rFonts w:ascii="Times New Roman" w:hAnsi="Times New Roman" w:eastAsia="宋体"/>
                <w:caps w:val="0"/>
                <w:kern w:val="0"/>
                <w:sz w:val="21"/>
                <w:szCs w:val="21"/>
              </w:rPr>
            </w:pPr>
          </w:p>
        </w:tc>
        <w:tc>
          <w:tcPr>
            <w:tcW w:w="858" w:type="dxa"/>
            <w:vMerge w:val="restart"/>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大气环境保护与能源结构调整工程</w:t>
            </w:r>
          </w:p>
        </w:tc>
        <w:tc>
          <w:tcPr>
            <w:tcW w:w="875"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广东粤电花都天然气热电有限公司2×400MW级燃气</w:t>
            </w:r>
            <w:r>
              <w:rPr>
                <w:rFonts w:hint="eastAsia" w:eastAsia="宋体"/>
                <w:caps w:val="0"/>
                <w:kern w:val="0"/>
                <w:sz w:val="21"/>
                <w:szCs w:val="21"/>
                <w:lang w:eastAsia="zh-CN"/>
              </w:rPr>
              <w:t>—</w:t>
            </w:r>
            <w:r>
              <w:rPr>
                <w:rFonts w:ascii="Times New Roman" w:hAnsi="Times New Roman" w:eastAsia="宋体"/>
                <w:caps w:val="0"/>
                <w:kern w:val="0"/>
                <w:sz w:val="21"/>
                <w:szCs w:val="21"/>
              </w:rPr>
              <w:t>蒸汽热电联产项目</w:t>
            </w:r>
          </w:p>
        </w:tc>
        <w:tc>
          <w:tcPr>
            <w:tcW w:w="3445" w:type="dxa"/>
            <w:vAlign w:val="center"/>
          </w:tcPr>
          <w:p>
            <w:pPr>
              <w:wordWrap/>
              <w:autoSpaceDE w:val="0"/>
              <w:autoSpaceDN w:val="0"/>
              <w:adjustRightInd w:val="0"/>
              <w:snapToGrid/>
              <w:spacing w:line="320" w:lineRule="exact"/>
              <w:jc w:val="left"/>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2×40万千瓦级燃气蒸汽热电联产工程及相应配套设施</w:t>
            </w:r>
          </w:p>
        </w:tc>
        <w:tc>
          <w:tcPr>
            <w:tcW w:w="1486"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359316万元</w:t>
            </w:r>
          </w:p>
        </w:tc>
        <w:tc>
          <w:tcPr>
            <w:tcW w:w="1410"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2019</w:t>
            </w:r>
            <w:r>
              <w:rPr>
                <w:rFonts w:hint="eastAsia" w:eastAsia="宋体"/>
                <w:caps w:val="0"/>
                <w:kern w:val="0"/>
                <w:sz w:val="21"/>
                <w:szCs w:val="21"/>
                <w:lang w:eastAsia="zh-CN"/>
              </w:rPr>
              <w:t>—</w:t>
            </w:r>
            <w:r>
              <w:rPr>
                <w:rFonts w:ascii="Times New Roman" w:hAnsi="Times New Roman" w:eastAsia="宋体"/>
                <w:caps w:val="0"/>
                <w:kern w:val="0"/>
                <w:sz w:val="21"/>
                <w:szCs w:val="21"/>
              </w:rPr>
              <w:t>2021年</w:t>
            </w:r>
          </w:p>
        </w:tc>
        <w:tc>
          <w:tcPr>
            <w:tcW w:w="843"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炭</w:t>
            </w:r>
          </w:p>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步</w:t>
            </w:r>
          </w:p>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trPr>
        <w:tc>
          <w:tcPr>
            <w:tcW w:w="565" w:type="dxa"/>
            <w:vAlign w:val="center"/>
          </w:tcPr>
          <w:p>
            <w:pPr>
              <w:widowControl/>
              <w:numPr>
                <w:ilvl w:val="0"/>
                <w:numId w:val="1"/>
              </w:numPr>
              <w:wordWrap/>
              <w:snapToGrid/>
              <w:spacing w:line="320" w:lineRule="exact"/>
              <w:jc w:val="center"/>
              <w:textAlignment w:val="auto"/>
              <w:rPr>
                <w:rFonts w:ascii="Times New Roman" w:hAnsi="Times New Roman" w:eastAsia="宋体"/>
                <w:caps w:val="0"/>
                <w:kern w:val="0"/>
                <w:sz w:val="21"/>
                <w:szCs w:val="21"/>
              </w:rPr>
            </w:pPr>
          </w:p>
        </w:tc>
        <w:tc>
          <w:tcPr>
            <w:tcW w:w="858" w:type="dxa"/>
            <w:vMerge w:val="continue"/>
            <w:vAlign w:val="center"/>
          </w:tcPr>
          <w:p>
            <w:pPr>
              <w:widowControl/>
              <w:wordWrap/>
              <w:snapToGrid/>
              <w:spacing w:line="320" w:lineRule="exact"/>
              <w:jc w:val="center"/>
              <w:textAlignment w:val="auto"/>
              <w:rPr>
                <w:rFonts w:ascii="Times New Roman" w:hAnsi="Times New Roman" w:eastAsia="宋体"/>
                <w:caps w:val="0"/>
                <w:kern w:val="0"/>
                <w:sz w:val="21"/>
                <w:szCs w:val="21"/>
              </w:rPr>
            </w:pPr>
          </w:p>
        </w:tc>
        <w:tc>
          <w:tcPr>
            <w:tcW w:w="875"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花都应急调峰LNG储配站</w:t>
            </w:r>
          </w:p>
        </w:tc>
        <w:tc>
          <w:tcPr>
            <w:tcW w:w="3445" w:type="dxa"/>
            <w:vAlign w:val="center"/>
          </w:tcPr>
          <w:p>
            <w:pPr>
              <w:widowControl/>
              <w:wordWrap/>
              <w:snapToGrid/>
              <w:spacing w:line="320" w:lineRule="exact"/>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花都应急调峰储配站，增设天然气供应点，建设储罐150Nm³×12座，供气规模可达16000方/h，包括土建工程、设备安装（储罐及气化撬）、管道工程、防雷消防、电讯仪表等</w:t>
            </w:r>
          </w:p>
        </w:tc>
        <w:tc>
          <w:tcPr>
            <w:tcW w:w="1486"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9000万元</w:t>
            </w:r>
          </w:p>
        </w:tc>
        <w:tc>
          <w:tcPr>
            <w:tcW w:w="1410"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2021</w:t>
            </w:r>
            <w:r>
              <w:rPr>
                <w:rFonts w:hint="eastAsia" w:eastAsia="宋体"/>
                <w:caps w:val="0"/>
                <w:kern w:val="0"/>
                <w:sz w:val="21"/>
                <w:szCs w:val="21"/>
                <w:lang w:eastAsia="zh-CN"/>
              </w:rPr>
              <w:t>—</w:t>
            </w:r>
            <w:r>
              <w:rPr>
                <w:rFonts w:ascii="Times New Roman" w:hAnsi="Times New Roman" w:eastAsia="宋体"/>
                <w:caps w:val="0"/>
                <w:kern w:val="0"/>
                <w:sz w:val="21"/>
                <w:szCs w:val="21"/>
              </w:rPr>
              <w:t>2022年</w:t>
            </w:r>
          </w:p>
        </w:tc>
        <w:tc>
          <w:tcPr>
            <w:tcW w:w="843"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区</w:t>
            </w:r>
            <w:r>
              <w:rPr>
                <w:rFonts w:hint="eastAsia" w:ascii="Times New Roman" w:hAnsi="Times New Roman" w:eastAsia="宋体"/>
                <w:caps w:val="0"/>
                <w:kern w:val="0"/>
                <w:sz w:val="21"/>
                <w:szCs w:val="21"/>
                <w:lang w:eastAsia="zh-CN"/>
              </w:rPr>
              <w:t>城市管理综合执法</w:t>
            </w:r>
            <w:r>
              <w:rPr>
                <w:rFonts w:ascii="Times New Roman" w:hAnsi="Times New Roman" w:eastAsia="宋体"/>
                <w:caps w:val="0"/>
                <w:kern w:val="0"/>
                <w:sz w:val="21"/>
                <w:szCs w:val="21"/>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565" w:type="dxa"/>
            <w:vAlign w:val="center"/>
          </w:tcPr>
          <w:p>
            <w:pPr>
              <w:widowControl/>
              <w:numPr>
                <w:ilvl w:val="0"/>
                <w:numId w:val="1"/>
              </w:numPr>
              <w:wordWrap/>
              <w:snapToGrid/>
              <w:spacing w:line="320" w:lineRule="exact"/>
              <w:jc w:val="center"/>
              <w:textAlignment w:val="auto"/>
              <w:rPr>
                <w:rFonts w:ascii="Times New Roman" w:hAnsi="Times New Roman" w:eastAsia="宋体"/>
                <w:caps w:val="0"/>
                <w:kern w:val="0"/>
                <w:sz w:val="21"/>
                <w:szCs w:val="21"/>
              </w:rPr>
            </w:pPr>
          </w:p>
        </w:tc>
        <w:tc>
          <w:tcPr>
            <w:tcW w:w="858" w:type="dxa"/>
            <w:vMerge w:val="continue"/>
            <w:vAlign w:val="center"/>
          </w:tcPr>
          <w:p>
            <w:pPr>
              <w:widowControl/>
              <w:wordWrap/>
              <w:snapToGrid/>
              <w:spacing w:line="320" w:lineRule="exact"/>
              <w:jc w:val="center"/>
              <w:textAlignment w:val="auto"/>
              <w:rPr>
                <w:rFonts w:ascii="Times New Roman" w:hAnsi="Times New Roman" w:eastAsia="宋体"/>
                <w:caps w:val="0"/>
                <w:kern w:val="0"/>
                <w:sz w:val="21"/>
                <w:szCs w:val="21"/>
              </w:rPr>
            </w:pPr>
          </w:p>
        </w:tc>
        <w:tc>
          <w:tcPr>
            <w:tcW w:w="875"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sz w:val="21"/>
                <w:szCs w:val="21"/>
              </w:rPr>
              <w:t>巡游出租车纯电动化更新替代</w:t>
            </w:r>
          </w:p>
        </w:tc>
        <w:tc>
          <w:tcPr>
            <w:tcW w:w="3445" w:type="dxa"/>
            <w:vAlign w:val="center"/>
          </w:tcPr>
          <w:p>
            <w:pPr>
              <w:widowControl/>
              <w:wordWrap/>
              <w:snapToGrid/>
              <w:spacing w:line="320" w:lineRule="exact"/>
              <w:textAlignment w:val="auto"/>
              <w:rPr>
                <w:rFonts w:ascii="Times New Roman" w:hAnsi="Times New Roman" w:eastAsia="宋体"/>
                <w:caps w:val="0"/>
                <w:kern w:val="0"/>
                <w:sz w:val="21"/>
                <w:szCs w:val="21"/>
              </w:rPr>
            </w:pPr>
            <w:r>
              <w:rPr>
                <w:rFonts w:ascii="Times New Roman" w:hAnsi="Times New Roman" w:eastAsia="宋体"/>
                <w:caps w:val="0"/>
                <w:sz w:val="21"/>
                <w:szCs w:val="21"/>
              </w:rPr>
              <w:t>传统巡游出租汽车纯电动化：涉及非电动营运出租车辆57台</w:t>
            </w:r>
          </w:p>
        </w:tc>
        <w:tc>
          <w:tcPr>
            <w:tcW w:w="1486"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sz w:val="21"/>
                <w:szCs w:val="21"/>
              </w:rPr>
              <w:t>企业自行采购</w:t>
            </w:r>
          </w:p>
        </w:tc>
        <w:tc>
          <w:tcPr>
            <w:tcW w:w="1410"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sz w:val="21"/>
                <w:szCs w:val="21"/>
              </w:rPr>
              <w:t>2021年26台、2022年30台、2023年1台</w:t>
            </w:r>
          </w:p>
        </w:tc>
        <w:tc>
          <w:tcPr>
            <w:tcW w:w="843"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sz w:val="21"/>
                <w:szCs w:val="21"/>
              </w:rPr>
              <w:t>区交通运输局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565" w:type="dxa"/>
            <w:vAlign w:val="center"/>
          </w:tcPr>
          <w:p>
            <w:pPr>
              <w:widowControl/>
              <w:numPr>
                <w:ilvl w:val="0"/>
                <w:numId w:val="1"/>
              </w:numPr>
              <w:wordWrap/>
              <w:snapToGrid/>
              <w:spacing w:line="320" w:lineRule="exact"/>
              <w:jc w:val="center"/>
              <w:textAlignment w:val="auto"/>
              <w:rPr>
                <w:rFonts w:ascii="Times New Roman" w:hAnsi="Times New Roman" w:eastAsia="宋体"/>
                <w:caps w:val="0"/>
                <w:kern w:val="0"/>
                <w:sz w:val="21"/>
                <w:szCs w:val="21"/>
              </w:rPr>
            </w:pPr>
          </w:p>
        </w:tc>
        <w:tc>
          <w:tcPr>
            <w:tcW w:w="858" w:type="dxa"/>
            <w:vMerge w:val="continue"/>
            <w:vAlign w:val="center"/>
          </w:tcPr>
          <w:p>
            <w:pPr>
              <w:widowControl/>
              <w:wordWrap/>
              <w:snapToGrid/>
              <w:spacing w:line="320" w:lineRule="exact"/>
              <w:jc w:val="center"/>
              <w:textAlignment w:val="auto"/>
              <w:rPr>
                <w:rFonts w:ascii="Times New Roman" w:hAnsi="Times New Roman" w:eastAsia="宋体"/>
                <w:caps w:val="0"/>
                <w:kern w:val="0"/>
                <w:sz w:val="21"/>
                <w:szCs w:val="21"/>
              </w:rPr>
            </w:pPr>
          </w:p>
        </w:tc>
        <w:tc>
          <w:tcPr>
            <w:tcW w:w="875" w:type="dxa"/>
            <w:vAlign w:val="center"/>
          </w:tcPr>
          <w:p>
            <w:pPr>
              <w:widowControl/>
              <w:wordWrap/>
              <w:snapToGrid/>
              <w:spacing w:line="320" w:lineRule="exact"/>
              <w:jc w:val="center"/>
              <w:textAlignment w:val="auto"/>
              <w:rPr>
                <w:rFonts w:ascii="Times New Roman" w:hAnsi="Times New Roman" w:eastAsia="宋体"/>
                <w:caps w:val="0"/>
                <w:sz w:val="21"/>
                <w:szCs w:val="21"/>
              </w:rPr>
            </w:pPr>
            <w:r>
              <w:rPr>
                <w:rFonts w:ascii="Times New Roman" w:hAnsi="Times New Roman" w:eastAsia="宋体"/>
                <w:caps w:val="0"/>
                <w:kern w:val="0"/>
                <w:sz w:val="21"/>
                <w:szCs w:val="21"/>
              </w:rPr>
              <w:t>低排放标准机动车更新淘汰</w:t>
            </w:r>
          </w:p>
        </w:tc>
        <w:tc>
          <w:tcPr>
            <w:tcW w:w="3445" w:type="dxa"/>
            <w:vAlign w:val="center"/>
          </w:tcPr>
          <w:p>
            <w:pPr>
              <w:widowControl/>
              <w:wordWrap/>
              <w:snapToGrid/>
              <w:spacing w:line="320" w:lineRule="exact"/>
              <w:textAlignment w:val="auto"/>
              <w:rPr>
                <w:rFonts w:ascii="Times New Roman" w:hAnsi="Times New Roman" w:eastAsia="宋体"/>
                <w:caps w:val="0"/>
                <w:sz w:val="21"/>
                <w:szCs w:val="21"/>
              </w:rPr>
            </w:pPr>
            <w:r>
              <w:rPr>
                <w:rFonts w:ascii="Times New Roman" w:hAnsi="Times New Roman" w:eastAsia="宋体"/>
                <w:caps w:val="0"/>
                <w:kern w:val="0"/>
                <w:sz w:val="21"/>
                <w:szCs w:val="21"/>
              </w:rPr>
              <w:t>完成国Ⅲ及以下排放标准机动车淘汰工作。</w:t>
            </w:r>
          </w:p>
        </w:tc>
        <w:tc>
          <w:tcPr>
            <w:tcW w:w="1486" w:type="dxa"/>
            <w:vAlign w:val="center"/>
          </w:tcPr>
          <w:p>
            <w:pPr>
              <w:widowControl/>
              <w:wordWrap/>
              <w:snapToGrid/>
              <w:spacing w:line="320" w:lineRule="exact"/>
              <w:jc w:val="center"/>
              <w:textAlignment w:val="auto"/>
              <w:rPr>
                <w:rFonts w:ascii="Times New Roman" w:hAnsi="Times New Roman" w:eastAsia="宋体"/>
                <w:caps w:val="0"/>
                <w:sz w:val="21"/>
                <w:szCs w:val="21"/>
              </w:rPr>
            </w:pPr>
          </w:p>
        </w:tc>
        <w:tc>
          <w:tcPr>
            <w:tcW w:w="1410" w:type="dxa"/>
            <w:vAlign w:val="center"/>
          </w:tcPr>
          <w:p>
            <w:pPr>
              <w:widowControl/>
              <w:wordWrap/>
              <w:snapToGrid/>
              <w:spacing w:line="320" w:lineRule="exact"/>
              <w:jc w:val="center"/>
              <w:textAlignment w:val="auto"/>
              <w:rPr>
                <w:rFonts w:ascii="Times New Roman" w:hAnsi="Times New Roman" w:eastAsia="宋体"/>
                <w:caps w:val="0"/>
                <w:sz w:val="21"/>
                <w:szCs w:val="21"/>
              </w:rPr>
            </w:pPr>
            <w:r>
              <w:rPr>
                <w:rFonts w:ascii="Times New Roman" w:hAnsi="Times New Roman" w:eastAsia="宋体"/>
                <w:caps w:val="0"/>
                <w:sz w:val="21"/>
                <w:szCs w:val="21"/>
              </w:rPr>
              <w:t>2030年</w:t>
            </w:r>
          </w:p>
        </w:tc>
        <w:tc>
          <w:tcPr>
            <w:tcW w:w="843" w:type="dxa"/>
            <w:vAlign w:val="center"/>
          </w:tcPr>
          <w:p>
            <w:pPr>
              <w:widowControl/>
              <w:wordWrap/>
              <w:snapToGrid/>
              <w:spacing w:line="320" w:lineRule="exact"/>
              <w:jc w:val="center"/>
              <w:textAlignment w:val="auto"/>
              <w:rPr>
                <w:rFonts w:ascii="Times New Roman" w:hAnsi="Times New Roman" w:eastAsia="宋体"/>
                <w:caps w:val="0"/>
                <w:sz w:val="21"/>
                <w:szCs w:val="21"/>
              </w:rPr>
            </w:pPr>
            <w:r>
              <w:rPr>
                <w:rFonts w:ascii="Times New Roman" w:hAnsi="Times New Roman" w:eastAsia="宋体"/>
                <w:caps w:val="0"/>
                <w:kern w:val="0"/>
                <w:sz w:val="21"/>
                <w:szCs w:val="21"/>
              </w:rPr>
              <w:t>区交通运输局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565" w:type="dxa"/>
            <w:vAlign w:val="center"/>
          </w:tcPr>
          <w:p>
            <w:pPr>
              <w:widowControl/>
              <w:numPr>
                <w:ilvl w:val="0"/>
                <w:numId w:val="1"/>
              </w:numPr>
              <w:wordWrap/>
              <w:snapToGrid/>
              <w:spacing w:line="320" w:lineRule="exact"/>
              <w:jc w:val="center"/>
              <w:textAlignment w:val="auto"/>
              <w:rPr>
                <w:rFonts w:ascii="Times New Roman" w:hAnsi="Times New Roman" w:eastAsia="宋体"/>
                <w:caps w:val="0"/>
                <w:kern w:val="0"/>
                <w:sz w:val="21"/>
                <w:szCs w:val="21"/>
              </w:rPr>
            </w:pPr>
          </w:p>
        </w:tc>
        <w:tc>
          <w:tcPr>
            <w:tcW w:w="858" w:type="dxa"/>
            <w:vMerge w:val="continue"/>
            <w:vAlign w:val="center"/>
          </w:tcPr>
          <w:p>
            <w:pPr>
              <w:widowControl/>
              <w:wordWrap/>
              <w:snapToGrid/>
              <w:spacing w:line="320" w:lineRule="exact"/>
              <w:jc w:val="center"/>
              <w:textAlignment w:val="auto"/>
              <w:rPr>
                <w:rFonts w:ascii="Times New Roman" w:hAnsi="Times New Roman" w:eastAsia="宋体"/>
                <w:caps w:val="0"/>
                <w:kern w:val="0"/>
                <w:sz w:val="21"/>
                <w:szCs w:val="21"/>
              </w:rPr>
            </w:pPr>
          </w:p>
        </w:tc>
        <w:tc>
          <w:tcPr>
            <w:tcW w:w="875" w:type="dxa"/>
            <w:vAlign w:val="center"/>
          </w:tcPr>
          <w:p>
            <w:pPr>
              <w:widowControl/>
              <w:wordWrap/>
              <w:snapToGrid/>
              <w:spacing w:line="320" w:lineRule="exact"/>
              <w:jc w:val="center"/>
              <w:textAlignment w:val="auto"/>
              <w:rPr>
                <w:rFonts w:ascii="Times New Roman" w:hAnsi="Times New Roman" w:eastAsia="宋体"/>
                <w:caps w:val="0"/>
                <w:sz w:val="21"/>
                <w:szCs w:val="21"/>
              </w:rPr>
            </w:pPr>
            <w:r>
              <w:rPr>
                <w:rFonts w:ascii="Times New Roman" w:hAnsi="Times New Roman" w:eastAsia="宋体"/>
                <w:caps w:val="0"/>
                <w:sz w:val="21"/>
                <w:szCs w:val="21"/>
              </w:rPr>
              <w:t>非道路移动机械编码登记</w:t>
            </w:r>
          </w:p>
        </w:tc>
        <w:tc>
          <w:tcPr>
            <w:tcW w:w="3445" w:type="dxa"/>
            <w:vAlign w:val="center"/>
          </w:tcPr>
          <w:p>
            <w:pPr>
              <w:widowControl/>
              <w:wordWrap/>
              <w:snapToGrid/>
              <w:spacing w:line="320" w:lineRule="exact"/>
              <w:textAlignment w:val="auto"/>
              <w:rPr>
                <w:rFonts w:ascii="Times New Roman" w:hAnsi="Times New Roman" w:eastAsia="宋体"/>
                <w:caps w:val="0"/>
                <w:sz w:val="21"/>
                <w:szCs w:val="21"/>
              </w:rPr>
            </w:pPr>
            <w:r>
              <w:rPr>
                <w:rFonts w:ascii="Times New Roman" w:hAnsi="Times New Roman" w:eastAsia="宋体"/>
                <w:caps w:val="0"/>
                <w:sz w:val="21"/>
                <w:szCs w:val="21"/>
              </w:rPr>
              <w:t>非道路移动机械编码登记覆盖率达100%。</w:t>
            </w:r>
          </w:p>
        </w:tc>
        <w:tc>
          <w:tcPr>
            <w:tcW w:w="1486" w:type="dxa"/>
            <w:vAlign w:val="center"/>
          </w:tcPr>
          <w:p>
            <w:pPr>
              <w:widowControl/>
              <w:wordWrap/>
              <w:snapToGrid/>
              <w:spacing w:line="320" w:lineRule="exact"/>
              <w:jc w:val="center"/>
              <w:textAlignment w:val="auto"/>
              <w:rPr>
                <w:rFonts w:ascii="Times New Roman" w:hAnsi="Times New Roman" w:eastAsia="宋体"/>
                <w:caps w:val="0"/>
                <w:sz w:val="21"/>
                <w:szCs w:val="21"/>
              </w:rPr>
            </w:pPr>
          </w:p>
        </w:tc>
        <w:tc>
          <w:tcPr>
            <w:tcW w:w="1410" w:type="dxa"/>
            <w:vAlign w:val="center"/>
          </w:tcPr>
          <w:p>
            <w:pPr>
              <w:widowControl/>
              <w:wordWrap/>
              <w:snapToGrid/>
              <w:spacing w:line="320" w:lineRule="exact"/>
              <w:jc w:val="center"/>
              <w:textAlignment w:val="auto"/>
              <w:rPr>
                <w:rFonts w:ascii="Times New Roman" w:hAnsi="Times New Roman" w:eastAsia="宋体"/>
                <w:caps w:val="0"/>
                <w:sz w:val="21"/>
                <w:szCs w:val="21"/>
              </w:rPr>
            </w:pPr>
            <w:r>
              <w:rPr>
                <w:rFonts w:ascii="Times New Roman" w:hAnsi="Times New Roman" w:eastAsia="宋体"/>
                <w:caps w:val="0"/>
                <w:sz w:val="21"/>
                <w:szCs w:val="21"/>
              </w:rPr>
              <w:t>2025年</w:t>
            </w:r>
          </w:p>
        </w:tc>
        <w:tc>
          <w:tcPr>
            <w:tcW w:w="843" w:type="dxa"/>
            <w:vAlign w:val="center"/>
          </w:tcPr>
          <w:p>
            <w:pPr>
              <w:widowControl/>
              <w:wordWrap/>
              <w:snapToGrid/>
              <w:spacing w:line="320" w:lineRule="exact"/>
              <w:jc w:val="center"/>
              <w:textAlignment w:val="auto"/>
              <w:rPr>
                <w:rFonts w:ascii="Times New Roman" w:hAnsi="Times New Roman" w:eastAsia="宋体"/>
                <w:caps w:val="0"/>
                <w:sz w:val="21"/>
                <w:szCs w:val="21"/>
              </w:rPr>
            </w:pPr>
            <w:r>
              <w:rPr>
                <w:rFonts w:ascii="Times New Roman" w:hAnsi="Times New Roman" w:eastAsia="宋体"/>
                <w:caps w:val="0"/>
                <w:sz w:val="21"/>
                <w:szCs w:val="21"/>
              </w:rPr>
              <w:t>市生态环境局花都分局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65" w:type="dxa"/>
            <w:vAlign w:val="center"/>
          </w:tcPr>
          <w:p>
            <w:pPr>
              <w:widowControl/>
              <w:numPr>
                <w:ilvl w:val="0"/>
                <w:numId w:val="1"/>
              </w:numPr>
              <w:wordWrap/>
              <w:snapToGrid/>
              <w:spacing w:line="320" w:lineRule="exact"/>
              <w:jc w:val="center"/>
              <w:textAlignment w:val="auto"/>
              <w:rPr>
                <w:rFonts w:ascii="Times New Roman" w:hAnsi="Times New Roman" w:eastAsia="宋体"/>
                <w:caps w:val="0"/>
                <w:kern w:val="0"/>
                <w:sz w:val="21"/>
                <w:szCs w:val="21"/>
              </w:rPr>
            </w:pPr>
          </w:p>
        </w:tc>
        <w:tc>
          <w:tcPr>
            <w:tcW w:w="858"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生态保护与建设工程</w:t>
            </w:r>
          </w:p>
        </w:tc>
        <w:tc>
          <w:tcPr>
            <w:tcW w:w="875"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碧道建设项目</w:t>
            </w:r>
          </w:p>
        </w:tc>
        <w:tc>
          <w:tcPr>
            <w:tcW w:w="3445" w:type="dxa"/>
            <w:vAlign w:val="center"/>
          </w:tcPr>
          <w:p>
            <w:pPr>
              <w:widowControl/>
              <w:wordWrap/>
              <w:snapToGrid/>
              <w:spacing w:line="320" w:lineRule="exact"/>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建设流溪河碧道，白坭河碧道，花都湖碧道，田美河碧道，天马河碧道，雅瑶涌、大陵河、西群河、兴华涌、雅瑶支涌碧道，六花岗水库碧道，铜鼓坑碧道，芦苞涌碧道，西南涌碧道，铁山河碧道共11条河涌和水库碧道共91.5km</w:t>
            </w:r>
          </w:p>
        </w:tc>
        <w:tc>
          <w:tcPr>
            <w:tcW w:w="1486"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10334万元</w:t>
            </w:r>
          </w:p>
        </w:tc>
        <w:tc>
          <w:tcPr>
            <w:tcW w:w="1410"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2025年</w:t>
            </w:r>
          </w:p>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完成</w:t>
            </w:r>
          </w:p>
        </w:tc>
        <w:tc>
          <w:tcPr>
            <w:tcW w:w="843"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区水</w:t>
            </w:r>
          </w:p>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trPr>
        <w:tc>
          <w:tcPr>
            <w:tcW w:w="565" w:type="dxa"/>
            <w:vAlign w:val="center"/>
          </w:tcPr>
          <w:p>
            <w:pPr>
              <w:widowControl/>
              <w:numPr>
                <w:ilvl w:val="0"/>
                <w:numId w:val="1"/>
              </w:numPr>
              <w:wordWrap/>
              <w:snapToGrid/>
              <w:spacing w:line="320" w:lineRule="exact"/>
              <w:jc w:val="center"/>
              <w:textAlignment w:val="auto"/>
              <w:rPr>
                <w:rFonts w:ascii="Times New Roman" w:hAnsi="Times New Roman" w:eastAsia="宋体"/>
                <w:caps w:val="0"/>
                <w:kern w:val="0"/>
                <w:sz w:val="21"/>
                <w:szCs w:val="21"/>
              </w:rPr>
            </w:pPr>
          </w:p>
        </w:tc>
        <w:tc>
          <w:tcPr>
            <w:tcW w:w="858" w:type="dxa"/>
            <w:vMerge w:val="restart"/>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固体废物污染防治工程</w:t>
            </w:r>
          </w:p>
        </w:tc>
        <w:tc>
          <w:tcPr>
            <w:tcW w:w="875"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花都区废弃物处置中心项目</w:t>
            </w:r>
          </w:p>
        </w:tc>
        <w:tc>
          <w:tcPr>
            <w:tcW w:w="3445" w:type="dxa"/>
            <w:vAlign w:val="center"/>
          </w:tcPr>
          <w:p>
            <w:pPr>
              <w:widowControl/>
              <w:wordWrap/>
              <w:snapToGrid/>
              <w:spacing w:line="320" w:lineRule="exact"/>
              <w:textAlignment w:val="auto"/>
              <w:rPr>
                <w:rFonts w:ascii="Times New Roman" w:hAnsi="Times New Roman" w:eastAsia="宋体"/>
                <w:caps w:val="0"/>
                <w:kern w:val="0"/>
                <w:sz w:val="21"/>
                <w:szCs w:val="21"/>
              </w:rPr>
            </w:pPr>
            <w:r>
              <w:rPr>
                <w:rFonts w:hint="eastAsia" w:ascii="Times New Roman" w:hAnsi="Times New Roman" w:eastAsia="宋体"/>
                <w:caps w:val="0"/>
                <w:kern w:val="0"/>
                <w:sz w:val="21"/>
                <w:szCs w:val="21"/>
              </w:rPr>
              <w:t>拟建设内容为回转窑焚烧线、等离子处理线、有机物化线、无机物化线、废桶清洗线等</w:t>
            </w:r>
          </w:p>
        </w:tc>
        <w:tc>
          <w:tcPr>
            <w:tcW w:w="1486"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28320万元</w:t>
            </w:r>
          </w:p>
        </w:tc>
        <w:tc>
          <w:tcPr>
            <w:tcW w:w="1410"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2021</w:t>
            </w:r>
            <w:r>
              <w:rPr>
                <w:rFonts w:hint="eastAsia" w:eastAsia="宋体"/>
                <w:caps w:val="0"/>
                <w:kern w:val="0"/>
                <w:sz w:val="21"/>
                <w:szCs w:val="21"/>
                <w:lang w:eastAsia="zh-CN"/>
              </w:rPr>
              <w:t>—</w:t>
            </w:r>
            <w:r>
              <w:rPr>
                <w:rFonts w:ascii="Times New Roman" w:hAnsi="Times New Roman" w:eastAsia="宋体"/>
                <w:caps w:val="0"/>
                <w:kern w:val="0"/>
                <w:sz w:val="21"/>
                <w:szCs w:val="21"/>
              </w:rPr>
              <w:t>2025年</w:t>
            </w:r>
          </w:p>
        </w:tc>
        <w:tc>
          <w:tcPr>
            <w:tcW w:w="843"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sz w:val="21"/>
                <w:szCs w:val="21"/>
              </w:rPr>
              <w:t>区环委会办公室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5" w:hRule="atLeast"/>
        </w:trPr>
        <w:tc>
          <w:tcPr>
            <w:tcW w:w="565" w:type="dxa"/>
            <w:vAlign w:val="center"/>
          </w:tcPr>
          <w:p>
            <w:pPr>
              <w:widowControl/>
              <w:numPr>
                <w:ilvl w:val="0"/>
                <w:numId w:val="1"/>
              </w:numPr>
              <w:wordWrap/>
              <w:snapToGrid/>
              <w:spacing w:line="320" w:lineRule="exact"/>
              <w:jc w:val="center"/>
              <w:textAlignment w:val="auto"/>
              <w:rPr>
                <w:rFonts w:ascii="Times New Roman" w:hAnsi="Times New Roman" w:eastAsia="宋体"/>
                <w:caps w:val="0"/>
                <w:kern w:val="0"/>
                <w:sz w:val="21"/>
                <w:szCs w:val="21"/>
              </w:rPr>
            </w:pPr>
          </w:p>
        </w:tc>
        <w:tc>
          <w:tcPr>
            <w:tcW w:w="858" w:type="dxa"/>
            <w:vMerge w:val="continue"/>
            <w:vAlign w:val="center"/>
          </w:tcPr>
          <w:p>
            <w:pPr>
              <w:widowControl/>
              <w:wordWrap/>
              <w:snapToGrid/>
              <w:spacing w:line="320" w:lineRule="exact"/>
              <w:jc w:val="center"/>
              <w:textAlignment w:val="auto"/>
              <w:rPr>
                <w:rFonts w:ascii="Times New Roman" w:hAnsi="Times New Roman" w:eastAsia="宋体"/>
                <w:caps w:val="0"/>
                <w:kern w:val="0"/>
                <w:sz w:val="21"/>
                <w:szCs w:val="21"/>
              </w:rPr>
            </w:pPr>
          </w:p>
        </w:tc>
        <w:tc>
          <w:tcPr>
            <w:tcW w:w="875"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广州市第五资源热力电厂二期工程及配套设施</w:t>
            </w:r>
          </w:p>
        </w:tc>
        <w:tc>
          <w:tcPr>
            <w:tcW w:w="3445" w:type="dxa"/>
            <w:vAlign w:val="center"/>
          </w:tcPr>
          <w:p>
            <w:pPr>
              <w:widowControl/>
              <w:wordWrap/>
              <w:snapToGrid/>
              <w:spacing w:line="320" w:lineRule="exact"/>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处理规模3000吨/日，拟选用4×800吨/日垃圾焚烧炉，配置2台50MW汽轮发电机组及相关配套设施；配套建设污水处理站、炉渣处理设施等</w:t>
            </w:r>
          </w:p>
        </w:tc>
        <w:tc>
          <w:tcPr>
            <w:tcW w:w="1486"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260654万元</w:t>
            </w:r>
          </w:p>
        </w:tc>
        <w:tc>
          <w:tcPr>
            <w:tcW w:w="1410"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2021</w:t>
            </w:r>
            <w:r>
              <w:rPr>
                <w:rFonts w:hint="eastAsia" w:eastAsia="宋体"/>
                <w:caps w:val="0"/>
                <w:kern w:val="0"/>
                <w:sz w:val="21"/>
                <w:szCs w:val="21"/>
                <w:lang w:eastAsia="zh-CN"/>
              </w:rPr>
              <w:t>—</w:t>
            </w:r>
            <w:r>
              <w:rPr>
                <w:rFonts w:ascii="Times New Roman" w:hAnsi="Times New Roman" w:eastAsia="宋体"/>
                <w:caps w:val="0"/>
                <w:kern w:val="0"/>
                <w:sz w:val="21"/>
                <w:szCs w:val="21"/>
              </w:rPr>
              <w:t>2025年</w:t>
            </w:r>
          </w:p>
        </w:tc>
        <w:tc>
          <w:tcPr>
            <w:tcW w:w="843"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区</w:t>
            </w:r>
            <w:r>
              <w:rPr>
                <w:rFonts w:hint="eastAsia" w:ascii="Times New Roman" w:hAnsi="Times New Roman" w:eastAsia="宋体"/>
                <w:caps w:val="0"/>
                <w:kern w:val="0"/>
                <w:sz w:val="21"/>
                <w:szCs w:val="21"/>
                <w:lang w:eastAsia="zh-CN"/>
              </w:rPr>
              <w:t>城市管理综合执法</w:t>
            </w:r>
            <w:r>
              <w:rPr>
                <w:rFonts w:ascii="Times New Roman" w:hAnsi="Times New Roman" w:eastAsia="宋体"/>
                <w:caps w:val="0"/>
                <w:kern w:val="0"/>
                <w:sz w:val="21"/>
                <w:szCs w:val="21"/>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trPr>
        <w:tc>
          <w:tcPr>
            <w:tcW w:w="565" w:type="dxa"/>
            <w:vAlign w:val="center"/>
          </w:tcPr>
          <w:p>
            <w:pPr>
              <w:widowControl/>
              <w:numPr>
                <w:ilvl w:val="0"/>
                <w:numId w:val="1"/>
              </w:numPr>
              <w:wordWrap/>
              <w:snapToGrid/>
              <w:spacing w:line="320" w:lineRule="exact"/>
              <w:jc w:val="center"/>
              <w:textAlignment w:val="auto"/>
              <w:rPr>
                <w:rFonts w:ascii="Times New Roman" w:hAnsi="Times New Roman" w:eastAsia="宋体"/>
                <w:caps w:val="0"/>
                <w:kern w:val="0"/>
                <w:sz w:val="21"/>
                <w:szCs w:val="21"/>
              </w:rPr>
            </w:pPr>
          </w:p>
        </w:tc>
        <w:tc>
          <w:tcPr>
            <w:tcW w:w="858" w:type="dxa"/>
            <w:vMerge w:val="continue"/>
            <w:vAlign w:val="center"/>
          </w:tcPr>
          <w:p>
            <w:pPr>
              <w:widowControl/>
              <w:wordWrap/>
              <w:snapToGrid/>
              <w:spacing w:line="320" w:lineRule="exact"/>
              <w:jc w:val="center"/>
              <w:textAlignment w:val="auto"/>
              <w:rPr>
                <w:rFonts w:ascii="Times New Roman" w:hAnsi="Times New Roman" w:eastAsia="宋体"/>
                <w:caps w:val="0"/>
                <w:kern w:val="0"/>
                <w:sz w:val="21"/>
                <w:szCs w:val="21"/>
              </w:rPr>
            </w:pPr>
          </w:p>
        </w:tc>
        <w:tc>
          <w:tcPr>
            <w:tcW w:w="875"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花都区生物质综合处理厂</w:t>
            </w:r>
          </w:p>
        </w:tc>
        <w:tc>
          <w:tcPr>
            <w:tcW w:w="3445" w:type="dxa"/>
            <w:vAlign w:val="center"/>
          </w:tcPr>
          <w:p>
            <w:pPr>
              <w:widowControl/>
              <w:wordWrap/>
              <w:snapToGrid/>
              <w:spacing w:line="320" w:lineRule="exact"/>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日处理规模为710吨，餐厨垃圾处理（200吨/日），粪便处理（500吨/日），死禽兽处理（5吨/日），废弃食用油处理（5吨/日）等</w:t>
            </w:r>
          </w:p>
        </w:tc>
        <w:tc>
          <w:tcPr>
            <w:tcW w:w="1486"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43159万元</w:t>
            </w:r>
          </w:p>
        </w:tc>
        <w:tc>
          <w:tcPr>
            <w:tcW w:w="1410"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2021</w:t>
            </w:r>
            <w:r>
              <w:rPr>
                <w:rFonts w:hint="eastAsia" w:eastAsia="宋体"/>
                <w:caps w:val="0"/>
                <w:kern w:val="0"/>
                <w:sz w:val="21"/>
                <w:szCs w:val="21"/>
                <w:lang w:eastAsia="zh-CN"/>
              </w:rPr>
              <w:t>—</w:t>
            </w:r>
            <w:r>
              <w:rPr>
                <w:rFonts w:ascii="Times New Roman" w:hAnsi="Times New Roman" w:eastAsia="宋体"/>
                <w:caps w:val="0"/>
                <w:kern w:val="0"/>
                <w:sz w:val="21"/>
                <w:szCs w:val="21"/>
              </w:rPr>
              <w:t>2025年</w:t>
            </w:r>
          </w:p>
        </w:tc>
        <w:tc>
          <w:tcPr>
            <w:tcW w:w="843"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区</w:t>
            </w:r>
            <w:r>
              <w:rPr>
                <w:rFonts w:hint="eastAsia" w:ascii="Times New Roman" w:hAnsi="Times New Roman" w:eastAsia="宋体"/>
                <w:caps w:val="0"/>
                <w:kern w:val="0"/>
                <w:sz w:val="21"/>
                <w:szCs w:val="21"/>
                <w:lang w:eastAsia="zh-CN"/>
              </w:rPr>
              <w:t>城市管理综合执法</w:t>
            </w:r>
            <w:r>
              <w:rPr>
                <w:rFonts w:ascii="Times New Roman" w:hAnsi="Times New Roman" w:eastAsia="宋体"/>
                <w:caps w:val="0"/>
                <w:kern w:val="0"/>
                <w:sz w:val="21"/>
                <w:szCs w:val="21"/>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9" w:hRule="atLeast"/>
        </w:trPr>
        <w:tc>
          <w:tcPr>
            <w:tcW w:w="565" w:type="dxa"/>
            <w:vAlign w:val="center"/>
          </w:tcPr>
          <w:p>
            <w:pPr>
              <w:widowControl/>
              <w:numPr>
                <w:ilvl w:val="0"/>
                <w:numId w:val="1"/>
              </w:numPr>
              <w:wordWrap/>
              <w:snapToGrid/>
              <w:spacing w:line="320" w:lineRule="exact"/>
              <w:jc w:val="center"/>
              <w:textAlignment w:val="auto"/>
              <w:rPr>
                <w:rFonts w:ascii="Times New Roman" w:hAnsi="Times New Roman" w:eastAsia="宋体"/>
                <w:caps w:val="0"/>
                <w:kern w:val="0"/>
                <w:sz w:val="21"/>
                <w:szCs w:val="21"/>
              </w:rPr>
            </w:pPr>
          </w:p>
        </w:tc>
        <w:tc>
          <w:tcPr>
            <w:tcW w:w="858" w:type="dxa"/>
            <w:vMerge w:val="continue"/>
            <w:vAlign w:val="center"/>
          </w:tcPr>
          <w:p>
            <w:pPr>
              <w:widowControl/>
              <w:wordWrap/>
              <w:snapToGrid/>
              <w:spacing w:line="320" w:lineRule="exact"/>
              <w:jc w:val="center"/>
              <w:textAlignment w:val="auto"/>
              <w:rPr>
                <w:rFonts w:ascii="Times New Roman" w:hAnsi="Times New Roman" w:eastAsia="宋体"/>
                <w:caps w:val="0"/>
                <w:kern w:val="0"/>
                <w:sz w:val="21"/>
                <w:szCs w:val="21"/>
              </w:rPr>
            </w:pPr>
          </w:p>
        </w:tc>
        <w:tc>
          <w:tcPr>
            <w:tcW w:w="875"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花东镇垃圾压缩站</w:t>
            </w:r>
          </w:p>
        </w:tc>
        <w:tc>
          <w:tcPr>
            <w:tcW w:w="3445" w:type="dxa"/>
            <w:vAlign w:val="center"/>
          </w:tcPr>
          <w:p>
            <w:pPr>
              <w:widowControl/>
              <w:wordWrap/>
              <w:snapToGrid/>
              <w:spacing w:line="320" w:lineRule="exact"/>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拟建花东镇垃圾压缩站项目占地面积为12207㎡，涉及总建筑面积 3608㎡，其中：新建垃圾压缩作业车间1栋，建筑面积为2000㎡；垃圾强制分类场所1栋1层，建筑面积为400㎡；员工生活楼1栋（3层），建筑面积为360㎡；业务楼1栋（2 层），建筑面积为400㎡；维修车间 1栋，建筑面积为400㎡；保安亭2 座，建筑面积为48㎡。拟建项目还包括配套道路广场、红线外进场路以及绿地等室外工程。项目整体建成后，近期可以满足花东镇500t/d的生活垃圾压缩量，远期增购压缩设备后垃圾压缩最大处理能力可以达到 1000t/d。</w:t>
            </w:r>
          </w:p>
        </w:tc>
        <w:tc>
          <w:tcPr>
            <w:tcW w:w="1486"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3948万元</w:t>
            </w:r>
          </w:p>
        </w:tc>
        <w:tc>
          <w:tcPr>
            <w:tcW w:w="1410"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2021</w:t>
            </w:r>
            <w:r>
              <w:rPr>
                <w:rFonts w:hint="eastAsia" w:eastAsia="宋体"/>
                <w:caps w:val="0"/>
                <w:kern w:val="0"/>
                <w:sz w:val="21"/>
                <w:szCs w:val="21"/>
                <w:lang w:eastAsia="zh-CN"/>
              </w:rPr>
              <w:t>—</w:t>
            </w:r>
            <w:r>
              <w:rPr>
                <w:rFonts w:ascii="Times New Roman" w:hAnsi="Times New Roman" w:eastAsia="宋体"/>
                <w:caps w:val="0"/>
                <w:kern w:val="0"/>
                <w:sz w:val="21"/>
                <w:szCs w:val="21"/>
              </w:rPr>
              <w:t>2025年</w:t>
            </w:r>
          </w:p>
        </w:tc>
        <w:tc>
          <w:tcPr>
            <w:tcW w:w="843"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花</w:t>
            </w:r>
          </w:p>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东</w:t>
            </w:r>
          </w:p>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2" w:hRule="atLeast"/>
        </w:trPr>
        <w:tc>
          <w:tcPr>
            <w:tcW w:w="565" w:type="dxa"/>
            <w:vAlign w:val="center"/>
          </w:tcPr>
          <w:p>
            <w:pPr>
              <w:widowControl/>
              <w:numPr>
                <w:ilvl w:val="0"/>
                <w:numId w:val="1"/>
              </w:numPr>
              <w:wordWrap/>
              <w:snapToGrid/>
              <w:spacing w:line="320" w:lineRule="exact"/>
              <w:jc w:val="center"/>
              <w:textAlignment w:val="auto"/>
              <w:rPr>
                <w:rFonts w:ascii="Times New Roman" w:hAnsi="Times New Roman" w:eastAsia="宋体"/>
                <w:caps w:val="0"/>
                <w:kern w:val="0"/>
                <w:sz w:val="21"/>
                <w:szCs w:val="21"/>
              </w:rPr>
            </w:pPr>
          </w:p>
        </w:tc>
        <w:tc>
          <w:tcPr>
            <w:tcW w:w="858" w:type="dxa"/>
            <w:vMerge w:val="restart"/>
            <w:vAlign w:val="center"/>
          </w:tcPr>
          <w:p>
            <w:pPr>
              <w:widowControl/>
              <w:wordWrap/>
              <w:snapToGrid/>
              <w:spacing w:line="320" w:lineRule="exact"/>
              <w:jc w:val="center"/>
              <w:textAlignment w:val="auto"/>
              <w:rPr>
                <w:rFonts w:ascii="Times New Roman" w:hAnsi="Times New Roman" w:eastAsia="宋体"/>
                <w:caps w:val="0"/>
                <w:kern w:val="0"/>
                <w:sz w:val="21"/>
                <w:szCs w:val="21"/>
                <w:highlight w:val="yellow"/>
              </w:rPr>
            </w:pPr>
            <w:r>
              <w:rPr>
                <w:rFonts w:ascii="Times New Roman" w:hAnsi="Times New Roman" w:eastAsia="宋体"/>
                <w:caps w:val="0"/>
                <w:kern w:val="0"/>
                <w:sz w:val="21"/>
                <w:szCs w:val="21"/>
              </w:rPr>
              <w:t>固体废物污染防治工程</w:t>
            </w:r>
          </w:p>
        </w:tc>
        <w:tc>
          <w:tcPr>
            <w:tcW w:w="875"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花山镇铁山压缩站改造项目</w:t>
            </w:r>
          </w:p>
        </w:tc>
        <w:tc>
          <w:tcPr>
            <w:tcW w:w="3445" w:type="dxa"/>
            <w:vAlign w:val="center"/>
          </w:tcPr>
          <w:p>
            <w:pPr>
              <w:widowControl/>
              <w:wordWrap/>
              <w:snapToGrid/>
              <w:spacing w:line="320" w:lineRule="exact"/>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位于铁山村16队，占地面积10亩，针对我镇近期和远期垃圾处理量需求，采用2用2备的方案设计，配备中央控制及监控系统，配套除臭设备及污水统一收集处理功能，近期采用2套压缩设备，可达500吨/日的处理量，远期采用4套压缩设备，可达1000吨/日的处理量，在场外新修建一条长约1400米，路宽6.5米的进场道路</w:t>
            </w:r>
          </w:p>
        </w:tc>
        <w:tc>
          <w:tcPr>
            <w:tcW w:w="1486"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4208万元</w:t>
            </w:r>
          </w:p>
        </w:tc>
        <w:tc>
          <w:tcPr>
            <w:tcW w:w="1410"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2021</w:t>
            </w:r>
            <w:r>
              <w:rPr>
                <w:rFonts w:hint="eastAsia" w:eastAsia="宋体"/>
                <w:caps w:val="0"/>
                <w:kern w:val="0"/>
                <w:sz w:val="21"/>
                <w:szCs w:val="21"/>
                <w:lang w:eastAsia="zh-CN"/>
              </w:rPr>
              <w:t>—</w:t>
            </w:r>
            <w:r>
              <w:rPr>
                <w:rFonts w:ascii="Times New Roman" w:hAnsi="Times New Roman" w:eastAsia="宋体"/>
                <w:caps w:val="0"/>
                <w:kern w:val="0"/>
                <w:sz w:val="21"/>
                <w:szCs w:val="21"/>
              </w:rPr>
              <w:t>2025年</w:t>
            </w:r>
          </w:p>
        </w:tc>
        <w:tc>
          <w:tcPr>
            <w:tcW w:w="843"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花</w:t>
            </w:r>
          </w:p>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山</w:t>
            </w:r>
          </w:p>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trPr>
        <w:tc>
          <w:tcPr>
            <w:tcW w:w="565" w:type="dxa"/>
            <w:vAlign w:val="center"/>
          </w:tcPr>
          <w:p>
            <w:pPr>
              <w:widowControl/>
              <w:numPr>
                <w:ilvl w:val="0"/>
                <w:numId w:val="1"/>
              </w:numPr>
              <w:wordWrap/>
              <w:snapToGrid/>
              <w:spacing w:line="320" w:lineRule="exact"/>
              <w:jc w:val="center"/>
              <w:textAlignment w:val="auto"/>
              <w:rPr>
                <w:rFonts w:ascii="Times New Roman" w:hAnsi="Times New Roman" w:eastAsia="宋体"/>
                <w:caps w:val="0"/>
                <w:kern w:val="0"/>
                <w:sz w:val="21"/>
                <w:szCs w:val="21"/>
              </w:rPr>
            </w:pPr>
          </w:p>
        </w:tc>
        <w:tc>
          <w:tcPr>
            <w:tcW w:w="858" w:type="dxa"/>
            <w:vMerge w:val="continue"/>
            <w:vAlign w:val="center"/>
          </w:tcPr>
          <w:p>
            <w:pPr>
              <w:widowControl/>
              <w:wordWrap/>
              <w:snapToGrid/>
              <w:spacing w:line="320" w:lineRule="exact"/>
              <w:jc w:val="center"/>
              <w:textAlignment w:val="auto"/>
              <w:rPr>
                <w:rFonts w:ascii="Times New Roman" w:hAnsi="Times New Roman" w:eastAsia="宋体"/>
                <w:caps w:val="0"/>
                <w:kern w:val="0"/>
                <w:sz w:val="21"/>
                <w:szCs w:val="21"/>
              </w:rPr>
            </w:pPr>
          </w:p>
        </w:tc>
        <w:tc>
          <w:tcPr>
            <w:tcW w:w="875"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狮岭镇垃圾压缩站</w:t>
            </w:r>
          </w:p>
        </w:tc>
        <w:tc>
          <w:tcPr>
            <w:tcW w:w="3445" w:type="dxa"/>
            <w:vAlign w:val="center"/>
          </w:tcPr>
          <w:p>
            <w:pPr>
              <w:widowControl/>
              <w:wordWrap/>
              <w:snapToGrid/>
              <w:spacing w:line="320" w:lineRule="exact"/>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狮岭镇垃圾压缩站初步选定位于山前旅游大道以北、大功率机车入口道路以东地块（用地面积约40亩）作为狮岭镇垃圾压缩站拟选址地块。</w:t>
            </w:r>
          </w:p>
        </w:tc>
        <w:tc>
          <w:tcPr>
            <w:tcW w:w="1486"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12000万元</w:t>
            </w:r>
          </w:p>
        </w:tc>
        <w:tc>
          <w:tcPr>
            <w:tcW w:w="1410"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2021</w:t>
            </w:r>
            <w:r>
              <w:rPr>
                <w:rFonts w:hint="eastAsia" w:eastAsia="宋体"/>
                <w:caps w:val="0"/>
                <w:kern w:val="0"/>
                <w:sz w:val="21"/>
                <w:szCs w:val="21"/>
                <w:lang w:eastAsia="zh-CN"/>
              </w:rPr>
              <w:t>—</w:t>
            </w:r>
            <w:r>
              <w:rPr>
                <w:rFonts w:ascii="Times New Roman" w:hAnsi="Times New Roman" w:eastAsia="宋体"/>
                <w:caps w:val="0"/>
                <w:kern w:val="0"/>
                <w:sz w:val="21"/>
                <w:szCs w:val="21"/>
              </w:rPr>
              <w:t>2025年</w:t>
            </w:r>
          </w:p>
        </w:tc>
        <w:tc>
          <w:tcPr>
            <w:tcW w:w="843"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狮</w:t>
            </w:r>
          </w:p>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岭</w:t>
            </w:r>
          </w:p>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trPr>
        <w:tc>
          <w:tcPr>
            <w:tcW w:w="565" w:type="dxa"/>
            <w:vAlign w:val="center"/>
          </w:tcPr>
          <w:p>
            <w:pPr>
              <w:widowControl/>
              <w:numPr>
                <w:ilvl w:val="0"/>
                <w:numId w:val="1"/>
              </w:numPr>
              <w:wordWrap/>
              <w:snapToGrid/>
              <w:spacing w:line="320" w:lineRule="exact"/>
              <w:jc w:val="center"/>
              <w:textAlignment w:val="auto"/>
              <w:rPr>
                <w:rFonts w:ascii="Times New Roman" w:hAnsi="Times New Roman" w:eastAsia="宋体"/>
                <w:caps w:val="0"/>
                <w:kern w:val="0"/>
                <w:sz w:val="21"/>
                <w:szCs w:val="21"/>
              </w:rPr>
            </w:pPr>
          </w:p>
        </w:tc>
        <w:tc>
          <w:tcPr>
            <w:tcW w:w="858" w:type="dxa"/>
            <w:vMerge w:val="continue"/>
            <w:vAlign w:val="center"/>
          </w:tcPr>
          <w:p>
            <w:pPr>
              <w:widowControl/>
              <w:wordWrap/>
              <w:snapToGrid/>
              <w:spacing w:line="320" w:lineRule="exact"/>
              <w:jc w:val="center"/>
              <w:textAlignment w:val="auto"/>
              <w:rPr>
                <w:rFonts w:ascii="Times New Roman" w:hAnsi="Times New Roman" w:eastAsia="宋体"/>
                <w:caps w:val="0"/>
                <w:kern w:val="0"/>
                <w:sz w:val="21"/>
                <w:szCs w:val="21"/>
                <w:highlight w:val="yellow"/>
              </w:rPr>
            </w:pPr>
          </w:p>
        </w:tc>
        <w:tc>
          <w:tcPr>
            <w:tcW w:w="875" w:type="dxa"/>
            <w:vAlign w:val="center"/>
          </w:tcPr>
          <w:p>
            <w:pPr>
              <w:widowControl/>
              <w:wordWrap/>
              <w:snapToGrid/>
              <w:spacing w:line="320" w:lineRule="exact"/>
              <w:jc w:val="center"/>
              <w:textAlignment w:val="auto"/>
              <w:rPr>
                <w:rFonts w:ascii="Times New Roman" w:hAnsi="Times New Roman" w:eastAsia="宋体"/>
                <w:caps w:val="0"/>
                <w:kern w:val="0"/>
                <w:sz w:val="21"/>
                <w:szCs w:val="21"/>
                <w:highlight w:val="none"/>
              </w:rPr>
            </w:pPr>
            <w:r>
              <w:rPr>
                <w:rFonts w:ascii="Times New Roman" w:hAnsi="Times New Roman" w:eastAsia="宋体"/>
                <w:caps w:val="0"/>
                <w:kern w:val="0"/>
                <w:sz w:val="21"/>
                <w:szCs w:val="21"/>
                <w:highlight w:val="none"/>
              </w:rPr>
              <w:t>建筑垃圾消纳场建设项目</w:t>
            </w:r>
          </w:p>
        </w:tc>
        <w:tc>
          <w:tcPr>
            <w:tcW w:w="3445" w:type="dxa"/>
            <w:vAlign w:val="center"/>
          </w:tcPr>
          <w:p>
            <w:pPr>
              <w:widowControl/>
              <w:wordWrap/>
              <w:snapToGrid/>
              <w:spacing w:line="320" w:lineRule="exact"/>
              <w:textAlignment w:val="auto"/>
              <w:rPr>
                <w:rFonts w:ascii="Times New Roman" w:hAnsi="Times New Roman" w:eastAsia="宋体"/>
                <w:caps w:val="0"/>
                <w:kern w:val="0"/>
                <w:sz w:val="21"/>
                <w:szCs w:val="21"/>
                <w:highlight w:val="none"/>
              </w:rPr>
            </w:pPr>
            <w:r>
              <w:rPr>
                <w:rFonts w:ascii="Times New Roman" w:hAnsi="Times New Roman" w:eastAsia="宋体"/>
                <w:caps w:val="0"/>
                <w:kern w:val="0"/>
                <w:sz w:val="21"/>
                <w:szCs w:val="21"/>
                <w:highlight w:val="none"/>
              </w:rPr>
              <w:t>建设西边村消纳场、炭步镇水口村消纳场等9座建筑垃圾消纳场</w:t>
            </w:r>
          </w:p>
        </w:tc>
        <w:tc>
          <w:tcPr>
            <w:tcW w:w="1486" w:type="dxa"/>
            <w:vAlign w:val="center"/>
          </w:tcPr>
          <w:p>
            <w:pPr>
              <w:widowControl/>
              <w:wordWrap/>
              <w:snapToGrid/>
              <w:spacing w:line="320" w:lineRule="exact"/>
              <w:jc w:val="center"/>
              <w:textAlignment w:val="auto"/>
              <w:rPr>
                <w:rFonts w:ascii="Times New Roman" w:hAnsi="Times New Roman" w:eastAsia="宋体"/>
                <w:caps w:val="0"/>
                <w:kern w:val="0"/>
                <w:sz w:val="21"/>
                <w:szCs w:val="21"/>
                <w:highlight w:val="none"/>
              </w:rPr>
            </w:pPr>
            <w:r>
              <w:rPr>
                <w:rFonts w:ascii="Times New Roman" w:hAnsi="Times New Roman" w:eastAsia="宋体"/>
                <w:caps w:val="0"/>
                <w:kern w:val="0"/>
                <w:sz w:val="21"/>
                <w:szCs w:val="21"/>
                <w:highlight w:val="none"/>
              </w:rPr>
              <w:t>64725万元</w:t>
            </w:r>
          </w:p>
        </w:tc>
        <w:tc>
          <w:tcPr>
            <w:tcW w:w="1410" w:type="dxa"/>
            <w:vAlign w:val="center"/>
          </w:tcPr>
          <w:p>
            <w:pPr>
              <w:widowControl/>
              <w:wordWrap/>
              <w:snapToGrid/>
              <w:spacing w:line="320" w:lineRule="exact"/>
              <w:jc w:val="center"/>
              <w:textAlignment w:val="auto"/>
              <w:rPr>
                <w:rFonts w:ascii="Times New Roman" w:hAnsi="Times New Roman" w:eastAsia="宋体"/>
                <w:caps w:val="0"/>
                <w:kern w:val="0"/>
                <w:sz w:val="21"/>
                <w:szCs w:val="21"/>
                <w:highlight w:val="none"/>
              </w:rPr>
            </w:pPr>
            <w:r>
              <w:rPr>
                <w:rFonts w:ascii="Times New Roman" w:hAnsi="Times New Roman" w:eastAsia="宋体"/>
                <w:caps w:val="0"/>
                <w:kern w:val="0"/>
                <w:sz w:val="21"/>
                <w:szCs w:val="21"/>
                <w:highlight w:val="none"/>
              </w:rPr>
              <w:t>2021</w:t>
            </w:r>
            <w:r>
              <w:rPr>
                <w:rFonts w:hint="eastAsia" w:eastAsia="宋体"/>
                <w:caps w:val="0"/>
                <w:kern w:val="0"/>
                <w:sz w:val="21"/>
                <w:szCs w:val="21"/>
                <w:highlight w:val="none"/>
                <w:lang w:eastAsia="zh-CN"/>
              </w:rPr>
              <w:t>—</w:t>
            </w:r>
            <w:r>
              <w:rPr>
                <w:rFonts w:ascii="Times New Roman" w:hAnsi="Times New Roman" w:eastAsia="宋体"/>
                <w:caps w:val="0"/>
                <w:kern w:val="0"/>
                <w:sz w:val="21"/>
                <w:szCs w:val="21"/>
                <w:highlight w:val="none"/>
              </w:rPr>
              <w:t>2025年</w:t>
            </w:r>
          </w:p>
        </w:tc>
        <w:tc>
          <w:tcPr>
            <w:tcW w:w="843" w:type="dxa"/>
            <w:vAlign w:val="center"/>
          </w:tcPr>
          <w:p>
            <w:pPr>
              <w:widowControl/>
              <w:wordWrap/>
              <w:snapToGrid/>
              <w:spacing w:line="320" w:lineRule="exact"/>
              <w:jc w:val="center"/>
              <w:textAlignment w:val="auto"/>
              <w:rPr>
                <w:rFonts w:ascii="Times New Roman" w:hAnsi="Times New Roman" w:eastAsia="宋体"/>
                <w:caps w:val="0"/>
                <w:kern w:val="0"/>
                <w:sz w:val="21"/>
                <w:szCs w:val="21"/>
                <w:highlight w:val="none"/>
              </w:rPr>
            </w:pPr>
            <w:r>
              <w:rPr>
                <w:rFonts w:ascii="Times New Roman" w:hAnsi="Times New Roman" w:eastAsia="宋体"/>
                <w:caps w:val="0"/>
                <w:kern w:val="0"/>
                <w:sz w:val="21"/>
                <w:szCs w:val="21"/>
                <w:highlight w:val="none"/>
              </w:rPr>
              <w:t>区</w:t>
            </w:r>
            <w:r>
              <w:rPr>
                <w:rFonts w:hint="eastAsia" w:ascii="Times New Roman" w:hAnsi="Times New Roman" w:eastAsia="宋体"/>
                <w:caps w:val="0"/>
                <w:kern w:val="0"/>
                <w:sz w:val="21"/>
                <w:szCs w:val="21"/>
                <w:highlight w:val="none"/>
                <w:lang w:eastAsia="zh-CN"/>
              </w:rPr>
              <w:t>城市管理综合执法</w:t>
            </w:r>
            <w:r>
              <w:rPr>
                <w:rFonts w:ascii="Times New Roman" w:hAnsi="Times New Roman" w:eastAsia="宋体"/>
                <w:caps w:val="0"/>
                <w:kern w:val="0"/>
                <w:sz w:val="21"/>
                <w:szCs w:val="21"/>
                <w:highlight w:val="none"/>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565" w:type="dxa"/>
            <w:vAlign w:val="center"/>
          </w:tcPr>
          <w:p>
            <w:pPr>
              <w:widowControl/>
              <w:numPr>
                <w:ilvl w:val="0"/>
                <w:numId w:val="1"/>
              </w:numPr>
              <w:wordWrap/>
              <w:snapToGrid/>
              <w:spacing w:line="320" w:lineRule="exact"/>
              <w:jc w:val="center"/>
              <w:textAlignment w:val="auto"/>
              <w:rPr>
                <w:rFonts w:ascii="Times New Roman" w:hAnsi="Times New Roman" w:eastAsia="宋体"/>
                <w:caps w:val="0"/>
                <w:kern w:val="0"/>
                <w:sz w:val="21"/>
                <w:szCs w:val="21"/>
              </w:rPr>
            </w:pPr>
          </w:p>
        </w:tc>
        <w:tc>
          <w:tcPr>
            <w:tcW w:w="858" w:type="dxa"/>
            <w:vMerge w:val="continue"/>
            <w:vAlign w:val="center"/>
          </w:tcPr>
          <w:p>
            <w:pPr>
              <w:widowControl/>
              <w:wordWrap/>
              <w:snapToGrid/>
              <w:spacing w:line="320" w:lineRule="exact"/>
              <w:jc w:val="center"/>
              <w:textAlignment w:val="auto"/>
              <w:rPr>
                <w:rFonts w:ascii="Times New Roman" w:hAnsi="Times New Roman" w:eastAsia="宋体"/>
                <w:caps w:val="0"/>
                <w:kern w:val="0"/>
                <w:sz w:val="21"/>
                <w:szCs w:val="21"/>
                <w:highlight w:val="yellow"/>
              </w:rPr>
            </w:pPr>
          </w:p>
        </w:tc>
        <w:tc>
          <w:tcPr>
            <w:tcW w:w="875" w:type="dxa"/>
            <w:vAlign w:val="center"/>
          </w:tcPr>
          <w:p>
            <w:pPr>
              <w:widowControl/>
              <w:wordWrap/>
              <w:snapToGrid/>
              <w:spacing w:line="320" w:lineRule="exact"/>
              <w:jc w:val="center"/>
              <w:textAlignment w:val="auto"/>
              <w:rPr>
                <w:rFonts w:ascii="Times New Roman" w:hAnsi="Times New Roman" w:eastAsia="宋体"/>
                <w:caps w:val="0"/>
                <w:kern w:val="0"/>
                <w:sz w:val="21"/>
                <w:szCs w:val="21"/>
                <w:highlight w:val="none"/>
              </w:rPr>
            </w:pPr>
            <w:r>
              <w:rPr>
                <w:rFonts w:ascii="Times New Roman" w:hAnsi="Times New Roman" w:eastAsia="宋体"/>
                <w:caps w:val="0"/>
                <w:kern w:val="0"/>
                <w:sz w:val="21"/>
                <w:szCs w:val="21"/>
                <w:highlight w:val="none"/>
              </w:rPr>
              <w:t>建筑垃圾综合利用厂建设项目</w:t>
            </w:r>
          </w:p>
        </w:tc>
        <w:tc>
          <w:tcPr>
            <w:tcW w:w="3445" w:type="dxa"/>
            <w:vAlign w:val="center"/>
          </w:tcPr>
          <w:p>
            <w:pPr>
              <w:widowControl/>
              <w:wordWrap/>
              <w:snapToGrid/>
              <w:spacing w:line="320" w:lineRule="exact"/>
              <w:textAlignment w:val="auto"/>
              <w:rPr>
                <w:rFonts w:ascii="Times New Roman" w:hAnsi="Times New Roman" w:eastAsia="宋体"/>
                <w:caps w:val="0"/>
                <w:kern w:val="0"/>
                <w:sz w:val="21"/>
                <w:szCs w:val="21"/>
                <w:highlight w:val="none"/>
              </w:rPr>
            </w:pPr>
            <w:r>
              <w:rPr>
                <w:rFonts w:ascii="Times New Roman" w:hAnsi="Times New Roman" w:eastAsia="宋体"/>
                <w:caps w:val="0"/>
                <w:kern w:val="0"/>
                <w:sz w:val="21"/>
                <w:szCs w:val="21"/>
                <w:highlight w:val="none"/>
              </w:rPr>
              <w:t>建设分水林场建筑垃圾综合利用厂（规模200万立方）、花山镇花城村建筑垃圾综合利用厂（规模150万立方）</w:t>
            </w:r>
          </w:p>
        </w:tc>
        <w:tc>
          <w:tcPr>
            <w:tcW w:w="1486" w:type="dxa"/>
            <w:vAlign w:val="center"/>
          </w:tcPr>
          <w:p>
            <w:pPr>
              <w:widowControl/>
              <w:wordWrap/>
              <w:snapToGrid/>
              <w:spacing w:line="320" w:lineRule="exact"/>
              <w:jc w:val="center"/>
              <w:textAlignment w:val="auto"/>
              <w:rPr>
                <w:rFonts w:ascii="Times New Roman" w:hAnsi="Times New Roman" w:eastAsia="宋体"/>
                <w:caps w:val="0"/>
                <w:kern w:val="0"/>
                <w:sz w:val="21"/>
                <w:szCs w:val="21"/>
                <w:highlight w:val="none"/>
              </w:rPr>
            </w:pPr>
            <w:r>
              <w:rPr>
                <w:rFonts w:ascii="Times New Roman" w:hAnsi="Times New Roman" w:eastAsia="宋体"/>
                <w:caps w:val="0"/>
                <w:kern w:val="0"/>
                <w:sz w:val="21"/>
                <w:szCs w:val="21"/>
                <w:highlight w:val="none"/>
              </w:rPr>
              <w:t>12267万元</w:t>
            </w:r>
          </w:p>
        </w:tc>
        <w:tc>
          <w:tcPr>
            <w:tcW w:w="1410" w:type="dxa"/>
            <w:vAlign w:val="center"/>
          </w:tcPr>
          <w:p>
            <w:pPr>
              <w:widowControl/>
              <w:wordWrap/>
              <w:snapToGrid/>
              <w:spacing w:line="320" w:lineRule="exact"/>
              <w:jc w:val="center"/>
              <w:textAlignment w:val="auto"/>
              <w:rPr>
                <w:rFonts w:ascii="Times New Roman" w:hAnsi="Times New Roman" w:eastAsia="宋体"/>
                <w:caps w:val="0"/>
                <w:kern w:val="0"/>
                <w:sz w:val="21"/>
                <w:szCs w:val="21"/>
                <w:highlight w:val="none"/>
              </w:rPr>
            </w:pPr>
            <w:r>
              <w:rPr>
                <w:rFonts w:ascii="Times New Roman" w:hAnsi="Times New Roman" w:eastAsia="宋体"/>
                <w:caps w:val="0"/>
                <w:kern w:val="0"/>
                <w:sz w:val="21"/>
                <w:szCs w:val="21"/>
                <w:highlight w:val="none"/>
              </w:rPr>
              <w:t>2021</w:t>
            </w:r>
            <w:r>
              <w:rPr>
                <w:rFonts w:hint="eastAsia" w:eastAsia="宋体"/>
                <w:caps w:val="0"/>
                <w:kern w:val="0"/>
                <w:sz w:val="21"/>
                <w:szCs w:val="21"/>
                <w:highlight w:val="none"/>
                <w:lang w:eastAsia="zh-CN"/>
              </w:rPr>
              <w:t>—</w:t>
            </w:r>
            <w:r>
              <w:rPr>
                <w:rFonts w:ascii="Times New Roman" w:hAnsi="Times New Roman" w:eastAsia="宋体"/>
                <w:caps w:val="0"/>
                <w:kern w:val="0"/>
                <w:sz w:val="21"/>
                <w:szCs w:val="21"/>
                <w:highlight w:val="none"/>
              </w:rPr>
              <w:t>2025年</w:t>
            </w:r>
          </w:p>
        </w:tc>
        <w:tc>
          <w:tcPr>
            <w:tcW w:w="843" w:type="dxa"/>
            <w:vAlign w:val="center"/>
          </w:tcPr>
          <w:p>
            <w:pPr>
              <w:widowControl/>
              <w:wordWrap/>
              <w:snapToGrid/>
              <w:spacing w:line="320" w:lineRule="exact"/>
              <w:jc w:val="center"/>
              <w:textAlignment w:val="auto"/>
              <w:rPr>
                <w:rFonts w:ascii="Times New Roman" w:hAnsi="Times New Roman" w:eastAsia="宋体"/>
                <w:caps w:val="0"/>
                <w:kern w:val="0"/>
                <w:sz w:val="21"/>
                <w:szCs w:val="21"/>
                <w:highlight w:val="none"/>
              </w:rPr>
            </w:pPr>
            <w:r>
              <w:rPr>
                <w:rFonts w:ascii="Times New Roman" w:hAnsi="Times New Roman" w:eastAsia="宋体"/>
                <w:caps w:val="0"/>
                <w:kern w:val="0"/>
                <w:sz w:val="21"/>
                <w:szCs w:val="21"/>
                <w:highlight w:val="none"/>
              </w:rPr>
              <w:t>区</w:t>
            </w:r>
            <w:r>
              <w:rPr>
                <w:rFonts w:hint="eastAsia" w:ascii="Times New Roman" w:hAnsi="Times New Roman" w:eastAsia="宋体"/>
                <w:caps w:val="0"/>
                <w:kern w:val="0"/>
                <w:sz w:val="21"/>
                <w:szCs w:val="21"/>
                <w:highlight w:val="none"/>
                <w:lang w:eastAsia="zh-CN"/>
              </w:rPr>
              <w:t>城市管理综合执法</w:t>
            </w:r>
            <w:r>
              <w:rPr>
                <w:rFonts w:ascii="Times New Roman" w:hAnsi="Times New Roman" w:eastAsia="宋体"/>
                <w:caps w:val="0"/>
                <w:kern w:val="0"/>
                <w:sz w:val="21"/>
                <w:szCs w:val="21"/>
                <w:highlight w:val="none"/>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trPr>
        <w:tc>
          <w:tcPr>
            <w:tcW w:w="565" w:type="dxa"/>
            <w:vAlign w:val="center"/>
          </w:tcPr>
          <w:p>
            <w:pPr>
              <w:widowControl/>
              <w:numPr>
                <w:ilvl w:val="0"/>
                <w:numId w:val="1"/>
              </w:numPr>
              <w:wordWrap/>
              <w:snapToGrid/>
              <w:spacing w:line="320" w:lineRule="exact"/>
              <w:jc w:val="center"/>
              <w:textAlignment w:val="auto"/>
              <w:rPr>
                <w:rFonts w:ascii="Times New Roman" w:hAnsi="Times New Roman" w:eastAsia="宋体"/>
                <w:caps w:val="0"/>
                <w:kern w:val="0"/>
                <w:sz w:val="21"/>
                <w:szCs w:val="21"/>
              </w:rPr>
            </w:pPr>
          </w:p>
        </w:tc>
        <w:tc>
          <w:tcPr>
            <w:tcW w:w="858"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生态环境监管能力建设工程</w:t>
            </w:r>
          </w:p>
        </w:tc>
        <w:tc>
          <w:tcPr>
            <w:tcW w:w="875"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区“三线一单”平台优化项目</w:t>
            </w:r>
          </w:p>
        </w:tc>
        <w:tc>
          <w:tcPr>
            <w:tcW w:w="3445" w:type="dxa"/>
            <w:vAlign w:val="center"/>
          </w:tcPr>
          <w:p>
            <w:pPr>
              <w:widowControl/>
              <w:wordWrap/>
              <w:snapToGrid/>
              <w:spacing w:line="320" w:lineRule="exact"/>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实现对“三线一单”成果进行动态更新，功能进一步优化。</w:t>
            </w:r>
          </w:p>
        </w:tc>
        <w:tc>
          <w:tcPr>
            <w:tcW w:w="1486"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sz w:val="21"/>
                <w:szCs w:val="21"/>
              </w:rPr>
              <w:t>100万元</w:t>
            </w:r>
          </w:p>
        </w:tc>
        <w:tc>
          <w:tcPr>
            <w:tcW w:w="1410"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sz w:val="21"/>
                <w:szCs w:val="21"/>
              </w:rPr>
              <w:t>2022</w:t>
            </w:r>
            <w:r>
              <w:rPr>
                <w:rFonts w:hint="eastAsia" w:eastAsia="宋体"/>
                <w:caps w:val="0"/>
                <w:kern w:val="0"/>
                <w:sz w:val="21"/>
                <w:szCs w:val="21"/>
                <w:lang w:eastAsia="zh-CN"/>
              </w:rPr>
              <w:t>—</w:t>
            </w:r>
            <w:r>
              <w:rPr>
                <w:rFonts w:ascii="Times New Roman" w:hAnsi="Times New Roman" w:eastAsia="宋体"/>
                <w:caps w:val="0"/>
                <w:sz w:val="21"/>
                <w:szCs w:val="21"/>
              </w:rPr>
              <w:t>2025</w:t>
            </w:r>
            <w:r>
              <w:rPr>
                <w:rFonts w:ascii="Times New Roman" w:hAnsi="Times New Roman" w:eastAsia="宋体"/>
                <w:caps w:val="0"/>
                <w:kern w:val="0"/>
                <w:sz w:val="21"/>
                <w:szCs w:val="21"/>
              </w:rPr>
              <w:t>年</w:t>
            </w:r>
          </w:p>
        </w:tc>
        <w:tc>
          <w:tcPr>
            <w:tcW w:w="843" w:type="dxa"/>
            <w:vAlign w:val="center"/>
          </w:tcPr>
          <w:p>
            <w:pPr>
              <w:widowControl/>
              <w:wordWrap/>
              <w:snapToGrid/>
              <w:spacing w:line="320" w:lineRule="exact"/>
              <w:jc w:val="center"/>
              <w:textAlignment w:val="auto"/>
              <w:rPr>
                <w:rFonts w:ascii="Times New Roman" w:hAnsi="Times New Roman" w:eastAsia="宋体"/>
                <w:caps w:val="0"/>
                <w:kern w:val="0"/>
                <w:sz w:val="21"/>
                <w:szCs w:val="21"/>
              </w:rPr>
            </w:pPr>
            <w:r>
              <w:rPr>
                <w:rFonts w:ascii="Times New Roman" w:hAnsi="Times New Roman" w:eastAsia="宋体"/>
                <w:caps w:val="0"/>
                <w:kern w:val="0"/>
                <w:sz w:val="21"/>
                <w:szCs w:val="21"/>
              </w:rPr>
              <w:t>市生态环境局花都分局</w:t>
            </w:r>
          </w:p>
        </w:tc>
      </w:tr>
    </w:tbl>
    <w:p>
      <w:pPr>
        <w:spacing w:line="360" w:lineRule="auto"/>
        <w:jc w:val="center"/>
        <w:rPr>
          <w:rFonts w:ascii="Times New Roman" w:hAnsi="Times New Roman"/>
          <w:caps w:val="0"/>
          <w:sz w:val="32"/>
          <w:szCs w:val="32"/>
          <w:highlight w:val="yellow"/>
        </w:rPr>
      </w:pPr>
    </w:p>
    <w:p>
      <w:pPr>
        <w:snapToGrid w:val="0"/>
        <w:rPr>
          <w:rFonts w:ascii="Times New Roman" w:hAnsi="Times New Roman"/>
        </w:rPr>
        <w:sectPr>
          <w:headerReference r:id="rId12" w:type="default"/>
          <w:pgSz w:w="11906" w:h="16838"/>
          <w:pgMar w:top="2098" w:right="1474" w:bottom="1984" w:left="1587" w:header="851" w:footer="1531" w:gutter="0"/>
          <w:pgNumType w:fmt="decimal"/>
          <w:cols w:space="720" w:num="1"/>
          <w:rtlGutter w:val="0"/>
          <w:docGrid w:type="linesAndChars" w:linePitch="579" w:charSpace="-842"/>
        </w:sectPr>
      </w:pPr>
    </w:p>
    <w:p>
      <w:pPr>
        <w:pStyle w:val="3"/>
        <w:keepNext/>
        <w:keepLines/>
        <w:widowControl w:val="0"/>
        <w:wordWrap/>
        <w:adjustRightInd/>
        <w:snapToGrid/>
        <w:spacing w:beforeLines="50" w:afterLines="50" w:line="240" w:lineRule="auto"/>
        <w:ind w:firstLine="632" w:firstLineChars="200"/>
        <w:jc w:val="both"/>
        <w:textAlignment w:val="auto"/>
        <w:rPr>
          <w:rFonts w:ascii="Times New Roman" w:hAnsi="Times New Roman"/>
          <w:b w:val="0"/>
          <w:bCs w:val="0"/>
          <w:caps w:val="0"/>
          <w:sz w:val="32"/>
          <w:szCs w:val="32"/>
        </w:rPr>
      </w:pPr>
      <w:bookmarkStart w:id="187" w:name="_Toc88053879"/>
      <w:r>
        <w:rPr>
          <w:rFonts w:ascii="Times New Roman" w:hAnsi="Times New Roman"/>
          <w:b w:val="0"/>
          <w:bCs w:val="0"/>
          <w:caps w:val="0"/>
          <w:sz w:val="32"/>
          <w:szCs w:val="32"/>
        </w:rPr>
        <w:t>8</w:t>
      </w:r>
      <w:r>
        <w:rPr>
          <w:rFonts w:hint="eastAsia" w:ascii="Times New Roman" w:hAnsi="Times New Roman" w:eastAsia="黑体" w:cs="黑体"/>
          <w:b w:val="0"/>
          <w:bCs w:val="0"/>
          <w:caps w:val="0"/>
          <w:sz w:val="32"/>
          <w:szCs w:val="32"/>
        </w:rPr>
        <w:t>、保障措施</w:t>
      </w:r>
      <w:bookmarkEnd w:id="187"/>
    </w:p>
    <w:p>
      <w:pPr>
        <w:pStyle w:val="4"/>
        <w:keepNext/>
        <w:keepLines/>
        <w:widowControl w:val="0"/>
        <w:wordWrap/>
        <w:adjustRightInd/>
        <w:snapToGrid/>
        <w:spacing w:beforeLines="50" w:afterLines="50" w:line="240" w:lineRule="auto"/>
        <w:ind w:firstLine="632" w:firstLineChars="200"/>
        <w:jc w:val="both"/>
        <w:textAlignment w:val="auto"/>
        <w:rPr>
          <w:rFonts w:ascii="Times New Roman" w:hAnsi="Times New Roman" w:eastAsia="宋体"/>
          <w:b w:val="0"/>
          <w:bCs w:val="0"/>
          <w:caps w:val="0"/>
          <w:sz w:val="32"/>
          <w:szCs w:val="32"/>
        </w:rPr>
      </w:pPr>
      <w:bookmarkStart w:id="188" w:name="_Toc88053880"/>
      <w:r>
        <w:rPr>
          <w:rFonts w:ascii="Times New Roman" w:hAnsi="Times New Roman" w:eastAsia="宋体"/>
          <w:b w:val="0"/>
          <w:bCs w:val="0"/>
          <w:caps w:val="0"/>
          <w:sz w:val="32"/>
          <w:szCs w:val="32"/>
        </w:rPr>
        <w:t>8.1</w:t>
      </w:r>
      <w:r>
        <w:rPr>
          <w:rFonts w:hint="eastAsia" w:ascii="Times New Roman" w:hAnsi="Times New Roman" w:eastAsia="楷体_GB2312" w:cs="楷体_GB2312"/>
          <w:b w:val="0"/>
          <w:bCs w:val="0"/>
          <w:caps w:val="0"/>
          <w:sz w:val="32"/>
          <w:szCs w:val="32"/>
        </w:rPr>
        <w:t>制度保障</w:t>
      </w:r>
      <w:bookmarkEnd w:id="188"/>
    </w:p>
    <w:p>
      <w:pPr>
        <w:keepNext w:val="0"/>
        <w:keepLines w:val="0"/>
        <w:pageBreakBefore w:val="0"/>
        <w:widowControl w:val="0"/>
        <w:kinsoku/>
        <w:wordWrap/>
        <w:overflowPunct/>
        <w:topLinePunct w:val="0"/>
        <w:autoSpaceDE w:val="0"/>
        <w:autoSpaceDN w:val="0"/>
        <w:bidi w:val="0"/>
        <w:adjustRightInd/>
        <w:snapToGrid/>
        <w:spacing w:line="624" w:lineRule="exact"/>
        <w:ind w:firstLine="632" w:firstLineChars="200"/>
        <w:jc w:val="both"/>
        <w:textAlignment w:val="auto"/>
        <w:rPr>
          <w:rFonts w:ascii="Times New Roman" w:hAnsi="Times New Roman"/>
          <w:b/>
          <w:bCs/>
          <w:caps w:val="0"/>
          <w:kern w:val="0"/>
          <w:sz w:val="32"/>
          <w:szCs w:val="32"/>
        </w:rPr>
      </w:pPr>
      <w:r>
        <w:rPr>
          <w:rFonts w:ascii="Times New Roman" w:hAnsi="Times New Roman"/>
          <w:b/>
          <w:bCs/>
          <w:caps w:val="0"/>
          <w:kern w:val="0"/>
          <w:sz w:val="32"/>
          <w:szCs w:val="32"/>
        </w:rPr>
        <w:t>（1）建立健全生态环境与发展综合决策制度</w:t>
      </w:r>
    </w:p>
    <w:p>
      <w:pPr>
        <w:keepNext w:val="0"/>
        <w:keepLines w:val="0"/>
        <w:pageBreakBefore w:val="0"/>
        <w:widowControl w:val="0"/>
        <w:kinsoku/>
        <w:wordWrap/>
        <w:overflowPunct/>
        <w:topLinePunct w:val="0"/>
        <w:bidi w:val="0"/>
        <w:adjustRightInd/>
        <w:snapToGrid/>
        <w:spacing w:line="624" w:lineRule="exact"/>
        <w:ind w:firstLine="632" w:firstLineChars="200"/>
        <w:jc w:val="both"/>
        <w:textAlignment w:val="auto"/>
        <w:rPr>
          <w:rFonts w:ascii="Times New Roman" w:hAnsi="Times New Roman"/>
          <w:caps w:val="0"/>
          <w:sz w:val="32"/>
          <w:szCs w:val="32"/>
        </w:rPr>
      </w:pPr>
      <w:r>
        <w:rPr>
          <w:rFonts w:ascii="Times New Roman" w:hAnsi="Times New Roman"/>
          <w:caps w:val="0"/>
          <w:sz w:val="32"/>
          <w:szCs w:val="32"/>
        </w:rPr>
        <w:t>建立健全生态环境与发展综合决策制度，政府各部门在进行经济与社会发展重大决策时，应听取生态环境主管部门的意见，充分考虑资源环境的承载能力，评估决策对环境可能产生的影响。定期召开生态环境与发展联席会议，对与生态环境有关的决策进行会审，协调解决生态环境保护与发展的有关问题。规范与生态环境相关的重大项目的专家论证、部门会审、群众参与、领导决策的综合决策程序。</w:t>
      </w:r>
    </w:p>
    <w:p>
      <w:pPr>
        <w:keepNext w:val="0"/>
        <w:keepLines w:val="0"/>
        <w:pageBreakBefore w:val="0"/>
        <w:widowControl w:val="0"/>
        <w:kinsoku/>
        <w:wordWrap/>
        <w:overflowPunct/>
        <w:topLinePunct w:val="0"/>
        <w:autoSpaceDE w:val="0"/>
        <w:autoSpaceDN w:val="0"/>
        <w:bidi w:val="0"/>
        <w:adjustRightInd/>
        <w:snapToGrid/>
        <w:spacing w:line="624" w:lineRule="exact"/>
        <w:ind w:firstLine="632" w:firstLineChars="200"/>
        <w:jc w:val="both"/>
        <w:textAlignment w:val="auto"/>
        <w:rPr>
          <w:rFonts w:hint="eastAsia" w:ascii="Times New Roman" w:hAnsi="Times New Roman" w:eastAsia="仿宋_GB2312" w:cs="仿宋_GB2312"/>
          <w:b/>
          <w:bCs/>
          <w:caps w:val="0"/>
          <w:kern w:val="0"/>
          <w:sz w:val="32"/>
          <w:szCs w:val="32"/>
        </w:rPr>
      </w:pPr>
      <w:r>
        <w:rPr>
          <w:rFonts w:ascii="Times New Roman" w:hAnsi="Times New Roman"/>
          <w:b/>
          <w:bCs/>
          <w:caps w:val="0"/>
          <w:kern w:val="0"/>
          <w:sz w:val="32"/>
          <w:szCs w:val="32"/>
        </w:rPr>
        <w:t>（2</w:t>
      </w:r>
      <w:r>
        <w:rPr>
          <w:rFonts w:hint="eastAsia" w:ascii="Times New Roman" w:hAnsi="Times New Roman" w:eastAsia="仿宋_GB2312" w:cs="仿宋_GB2312"/>
          <w:b/>
          <w:bCs/>
          <w:caps w:val="0"/>
          <w:kern w:val="0"/>
          <w:sz w:val="32"/>
          <w:szCs w:val="32"/>
        </w:rPr>
        <w:t>）健全建设项目环境审批制度</w:t>
      </w:r>
    </w:p>
    <w:p>
      <w:pPr>
        <w:keepNext w:val="0"/>
        <w:keepLines w:val="0"/>
        <w:pageBreakBefore w:val="0"/>
        <w:widowControl w:val="0"/>
        <w:kinsoku/>
        <w:wordWrap/>
        <w:overflowPunct/>
        <w:topLinePunct w:val="0"/>
        <w:autoSpaceDE w:val="0"/>
        <w:autoSpaceDN w:val="0"/>
        <w:bidi w:val="0"/>
        <w:adjustRightInd/>
        <w:snapToGrid/>
        <w:spacing w:line="624" w:lineRule="exact"/>
        <w:ind w:firstLine="632" w:firstLineChars="200"/>
        <w:jc w:val="both"/>
        <w:textAlignment w:val="auto"/>
        <w:rPr>
          <w:rFonts w:ascii="Times New Roman" w:hAnsi="Times New Roman"/>
          <w:caps w:val="0"/>
          <w:kern w:val="0"/>
          <w:sz w:val="32"/>
          <w:szCs w:val="32"/>
        </w:rPr>
      </w:pPr>
      <w:r>
        <w:rPr>
          <w:rFonts w:hint="eastAsia" w:ascii="Times New Roman" w:hAnsi="Times New Roman" w:eastAsia="仿宋_GB2312" w:cs="仿宋_GB2312"/>
          <w:caps w:val="0"/>
          <w:kern w:val="0"/>
          <w:sz w:val="32"/>
          <w:szCs w:val="32"/>
        </w:rPr>
        <w:t>重视污染源头控制，严格落实“三线一单”准入制度和建设项目环境保护分级审批制度，禁止不符合准入条件的项目进入，推动改善花都区产业结构，促进花都区高质量发展。</w:t>
      </w:r>
    </w:p>
    <w:p>
      <w:pPr>
        <w:keepNext w:val="0"/>
        <w:keepLines w:val="0"/>
        <w:pageBreakBefore w:val="0"/>
        <w:widowControl w:val="0"/>
        <w:kinsoku/>
        <w:wordWrap/>
        <w:overflowPunct/>
        <w:topLinePunct w:val="0"/>
        <w:autoSpaceDE w:val="0"/>
        <w:autoSpaceDN w:val="0"/>
        <w:bidi w:val="0"/>
        <w:adjustRightInd/>
        <w:snapToGrid/>
        <w:spacing w:line="624" w:lineRule="exact"/>
        <w:ind w:firstLine="632" w:firstLineChars="200"/>
        <w:jc w:val="both"/>
        <w:textAlignment w:val="auto"/>
        <w:rPr>
          <w:rFonts w:ascii="Times New Roman" w:hAnsi="Times New Roman"/>
          <w:b/>
          <w:bCs/>
          <w:caps w:val="0"/>
          <w:kern w:val="0"/>
          <w:sz w:val="32"/>
          <w:szCs w:val="32"/>
        </w:rPr>
      </w:pPr>
      <w:r>
        <w:rPr>
          <w:rFonts w:ascii="Times New Roman" w:hAnsi="Times New Roman"/>
          <w:b/>
          <w:bCs/>
          <w:caps w:val="0"/>
          <w:kern w:val="0"/>
          <w:sz w:val="32"/>
          <w:szCs w:val="32"/>
        </w:rPr>
        <w:t>（3）落实生态环境保护责任清单</w:t>
      </w:r>
    </w:p>
    <w:p>
      <w:pPr>
        <w:keepNext w:val="0"/>
        <w:keepLines w:val="0"/>
        <w:pageBreakBefore w:val="0"/>
        <w:widowControl w:val="0"/>
        <w:kinsoku/>
        <w:wordWrap/>
        <w:overflowPunct/>
        <w:topLinePunct w:val="0"/>
        <w:autoSpaceDE w:val="0"/>
        <w:autoSpaceDN w:val="0"/>
        <w:bidi w:val="0"/>
        <w:adjustRightInd/>
        <w:snapToGrid/>
        <w:spacing w:line="624" w:lineRule="exact"/>
        <w:ind w:firstLine="632" w:firstLineChars="200"/>
        <w:jc w:val="both"/>
        <w:textAlignment w:val="auto"/>
        <w:rPr>
          <w:rFonts w:ascii="Times New Roman" w:hAnsi="Times New Roman"/>
          <w:caps w:val="0"/>
          <w:kern w:val="0"/>
          <w:sz w:val="32"/>
          <w:szCs w:val="32"/>
        </w:rPr>
      </w:pPr>
      <w:r>
        <w:rPr>
          <w:rFonts w:ascii="Times New Roman" w:hAnsi="Times New Roman"/>
          <w:caps w:val="0"/>
          <w:kern w:val="0"/>
          <w:sz w:val="32"/>
          <w:szCs w:val="32"/>
        </w:rPr>
        <w:t>严格实行生态环境保护党政同责、一岗双责。明确</w:t>
      </w:r>
      <w:r>
        <w:rPr>
          <w:rFonts w:hint="eastAsia"/>
          <w:caps w:val="0"/>
          <w:kern w:val="0"/>
          <w:sz w:val="32"/>
          <w:szCs w:val="32"/>
          <w:highlight w:val="none"/>
          <w:lang w:eastAsia="zh-CN"/>
        </w:rPr>
        <w:t>区</w:t>
      </w:r>
      <w:r>
        <w:rPr>
          <w:rFonts w:ascii="Times New Roman" w:hAnsi="Times New Roman"/>
          <w:caps w:val="0"/>
          <w:kern w:val="0"/>
          <w:sz w:val="32"/>
          <w:szCs w:val="32"/>
          <w:highlight w:val="none"/>
        </w:rPr>
        <w:t>委、区政府的生态环境保护责任，</w:t>
      </w:r>
      <w:r>
        <w:rPr>
          <w:rFonts w:ascii="Times New Roman" w:hAnsi="Times New Roman"/>
          <w:caps w:val="0"/>
          <w:kern w:val="0"/>
          <w:sz w:val="32"/>
          <w:szCs w:val="32"/>
        </w:rPr>
        <w:t>全方位落实生态环境保护工作责任清单，深化生态环境目标评价考核，加强考核结果应用，将考核结果作为各级领导班子和领导干部任用和奖惩的重要</w:t>
      </w:r>
      <w:r>
        <w:rPr>
          <w:rFonts w:hint="eastAsia"/>
          <w:caps w:val="0"/>
          <w:kern w:val="0"/>
          <w:sz w:val="32"/>
          <w:szCs w:val="32"/>
          <w:lang w:eastAsia="zh-CN"/>
        </w:rPr>
        <w:t>参考</w:t>
      </w:r>
      <w:r>
        <w:rPr>
          <w:rFonts w:ascii="Times New Roman" w:hAnsi="Times New Roman"/>
          <w:caps w:val="0"/>
          <w:kern w:val="0"/>
          <w:sz w:val="32"/>
          <w:szCs w:val="32"/>
        </w:rPr>
        <w:t>依据。</w:t>
      </w:r>
    </w:p>
    <w:p>
      <w:pPr>
        <w:pStyle w:val="4"/>
        <w:keepNext/>
        <w:keepLines/>
        <w:widowControl w:val="0"/>
        <w:wordWrap/>
        <w:adjustRightInd/>
        <w:snapToGrid/>
        <w:spacing w:beforeLines="50" w:afterLines="50" w:line="240" w:lineRule="auto"/>
        <w:ind w:firstLine="632" w:firstLineChars="200"/>
        <w:jc w:val="both"/>
        <w:textAlignment w:val="auto"/>
        <w:rPr>
          <w:rFonts w:hint="eastAsia" w:ascii="Times New Roman" w:hAnsi="Times New Roman" w:eastAsia="楷体_GB2312" w:cs="楷体_GB2312"/>
          <w:b w:val="0"/>
          <w:bCs w:val="0"/>
          <w:caps w:val="0"/>
          <w:sz w:val="32"/>
          <w:szCs w:val="32"/>
        </w:rPr>
      </w:pPr>
      <w:bookmarkStart w:id="189" w:name="_Toc88053881"/>
      <w:r>
        <w:rPr>
          <w:rFonts w:hint="default" w:ascii="Times New Roman" w:hAnsi="Times New Roman" w:eastAsia="楷体_GB2312" w:cs="楷体_GB2312"/>
          <w:b w:val="0"/>
          <w:bCs w:val="0"/>
          <w:caps w:val="0"/>
          <w:sz w:val="32"/>
          <w:szCs w:val="32"/>
        </w:rPr>
        <w:t>8.2</w:t>
      </w:r>
      <w:r>
        <w:rPr>
          <w:rFonts w:hint="eastAsia" w:ascii="Times New Roman" w:hAnsi="Times New Roman" w:eastAsia="楷体_GB2312" w:cs="楷体_GB2312"/>
          <w:b w:val="0"/>
          <w:bCs w:val="0"/>
          <w:caps w:val="0"/>
          <w:sz w:val="32"/>
          <w:szCs w:val="32"/>
        </w:rPr>
        <w:t>组织保障</w:t>
      </w:r>
      <w:bookmarkEnd w:id="189"/>
    </w:p>
    <w:p>
      <w:pPr>
        <w:keepNext w:val="0"/>
        <w:keepLines w:val="0"/>
        <w:pageBreakBefore w:val="0"/>
        <w:widowControl w:val="0"/>
        <w:kinsoku/>
        <w:wordWrap/>
        <w:overflowPunct/>
        <w:topLinePunct w:val="0"/>
        <w:autoSpaceDE/>
        <w:autoSpaceDN/>
        <w:bidi w:val="0"/>
        <w:adjustRightInd/>
        <w:snapToGrid/>
        <w:spacing w:line="600" w:lineRule="exact"/>
        <w:ind w:firstLine="632" w:firstLineChars="200"/>
        <w:jc w:val="both"/>
        <w:textAlignment w:val="auto"/>
        <w:rPr>
          <w:rFonts w:ascii="Times New Roman" w:hAnsi="Times New Roman"/>
          <w:bCs/>
          <w:caps w:val="0"/>
          <w:sz w:val="32"/>
          <w:szCs w:val="32"/>
        </w:rPr>
      </w:pPr>
      <w:r>
        <w:rPr>
          <w:rFonts w:ascii="Times New Roman" w:hAnsi="Times New Roman"/>
          <w:bCs/>
          <w:caps w:val="0"/>
          <w:sz w:val="32"/>
          <w:szCs w:val="32"/>
        </w:rPr>
        <w:t>区生态环境主管部门应根据本规划确定的各项任务和要求，牵头组织制订具体的规划实施方案，分解各项工作任务，明确落实责任单位和进度要求。各责任单位应将相关重点工作、项目列入本单位的年度工作方案（计划或要点）。</w:t>
      </w:r>
    </w:p>
    <w:p>
      <w:pPr>
        <w:keepNext w:val="0"/>
        <w:keepLines w:val="0"/>
        <w:pageBreakBefore w:val="0"/>
        <w:widowControl w:val="0"/>
        <w:kinsoku/>
        <w:wordWrap/>
        <w:overflowPunct/>
        <w:topLinePunct w:val="0"/>
        <w:autoSpaceDE/>
        <w:autoSpaceDN/>
        <w:bidi w:val="0"/>
        <w:adjustRightInd/>
        <w:snapToGrid/>
        <w:spacing w:line="600" w:lineRule="exact"/>
        <w:ind w:firstLine="632" w:firstLineChars="200"/>
        <w:jc w:val="both"/>
        <w:textAlignment w:val="auto"/>
        <w:rPr>
          <w:rFonts w:ascii="Times New Roman" w:hAnsi="Times New Roman"/>
          <w:caps w:val="0"/>
          <w:kern w:val="0"/>
          <w:sz w:val="32"/>
          <w:szCs w:val="32"/>
        </w:rPr>
      </w:pPr>
      <w:r>
        <w:rPr>
          <w:rFonts w:ascii="Times New Roman" w:hAnsi="Times New Roman"/>
          <w:caps w:val="0"/>
          <w:sz w:val="32"/>
          <w:szCs w:val="32"/>
        </w:rPr>
        <w:t>要健全规划实施的沟通协调机制，各相关部门定期召开协调会，研究解决规划推进过程中遇到的重大问题。</w:t>
      </w:r>
      <w:r>
        <w:rPr>
          <w:rFonts w:ascii="Times New Roman" w:hAnsi="Times New Roman"/>
          <w:caps w:val="0"/>
          <w:kern w:val="0"/>
          <w:sz w:val="32"/>
          <w:szCs w:val="32"/>
        </w:rPr>
        <w:t>区政府定期听取汇报，研究解决规划实施中存在的问题并及时解决。</w:t>
      </w:r>
    </w:p>
    <w:p>
      <w:pPr>
        <w:keepNext w:val="0"/>
        <w:keepLines w:val="0"/>
        <w:pageBreakBefore w:val="0"/>
        <w:widowControl w:val="0"/>
        <w:kinsoku/>
        <w:wordWrap/>
        <w:overflowPunct/>
        <w:topLinePunct w:val="0"/>
        <w:autoSpaceDE/>
        <w:autoSpaceDN/>
        <w:bidi w:val="0"/>
        <w:adjustRightInd/>
        <w:snapToGrid/>
        <w:spacing w:line="600" w:lineRule="exact"/>
        <w:ind w:firstLine="632" w:firstLineChars="200"/>
        <w:jc w:val="both"/>
        <w:textAlignment w:val="auto"/>
        <w:rPr>
          <w:rFonts w:ascii="Times New Roman" w:hAnsi="Times New Roman"/>
          <w:caps w:val="0"/>
          <w:kern w:val="0"/>
          <w:sz w:val="32"/>
          <w:szCs w:val="32"/>
          <w:highlight w:val="yellow"/>
        </w:rPr>
      </w:pPr>
      <w:r>
        <w:rPr>
          <w:rFonts w:ascii="Times New Roman" w:hAnsi="Times New Roman"/>
          <w:bCs/>
          <w:caps w:val="0"/>
          <w:sz w:val="32"/>
          <w:szCs w:val="32"/>
        </w:rPr>
        <w:t>各职能部门在编制相关规划时，应与本规划做好衔接。其中生态环境各要素各领域在编制专项规划或行动方案时，应落实本规划的目标和任务。</w:t>
      </w:r>
    </w:p>
    <w:p>
      <w:pPr>
        <w:pStyle w:val="4"/>
        <w:keepNext/>
        <w:keepLines/>
        <w:pageBreakBefore w:val="0"/>
        <w:widowControl w:val="0"/>
        <w:kinsoku/>
        <w:wordWrap/>
        <w:overflowPunct/>
        <w:topLinePunct w:val="0"/>
        <w:bidi w:val="0"/>
        <w:adjustRightInd/>
        <w:snapToGrid/>
        <w:spacing w:beforeLines="50" w:afterLines="50" w:line="240" w:lineRule="auto"/>
        <w:ind w:firstLine="632" w:firstLineChars="200"/>
        <w:jc w:val="both"/>
        <w:textAlignment w:val="auto"/>
        <w:rPr>
          <w:rFonts w:hint="default" w:ascii="Times New Roman" w:hAnsi="Times New Roman" w:eastAsia="楷体_GB2312" w:cs="Times New Roman"/>
          <w:b w:val="0"/>
          <w:bCs w:val="0"/>
          <w:caps w:val="0"/>
          <w:sz w:val="32"/>
          <w:szCs w:val="32"/>
        </w:rPr>
      </w:pPr>
      <w:bookmarkStart w:id="190" w:name="_Toc88053882"/>
      <w:r>
        <w:rPr>
          <w:rFonts w:hint="default" w:ascii="Times New Roman" w:hAnsi="Times New Roman" w:eastAsia="楷体_GB2312" w:cs="Times New Roman"/>
          <w:b w:val="0"/>
          <w:bCs w:val="0"/>
          <w:caps w:val="0"/>
          <w:sz w:val="32"/>
          <w:szCs w:val="32"/>
        </w:rPr>
        <w:t>8.3资金保障</w:t>
      </w:r>
      <w:bookmarkEnd w:id="190"/>
    </w:p>
    <w:p>
      <w:pPr>
        <w:keepNext w:val="0"/>
        <w:keepLines w:val="0"/>
        <w:pageBreakBefore w:val="0"/>
        <w:widowControl w:val="0"/>
        <w:kinsoku/>
        <w:wordWrap/>
        <w:overflowPunct/>
        <w:topLinePunct w:val="0"/>
        <w:autoSpaceDE/>
        <w:autoSpaceDN/>
        <w:bidi w:val="0"/>
        <w:adjustRightInd/>
        <w:snapToGrid/>
        <w:spacing w:line="600" w:lineRule="exact"/>
        <w:ind w:firstLine="632" w:firstLineChars="200"/>
        <w:jc w:val="both"/>
        <w:textAlignment w:val="auto"/>
        <w:rPr>
          <w:rFonts w:ascii="Times New Roman" w:hAnsi="Times New Roman"/>
          <w:caps w:val="0"/>
          <w:kern w:val="0"/>
          <w:sz w:val="32"/>
          <w:szCs w:val="32"/>
          <w:highlight w:val="yellow"/>
        </w:rPr>
      </w:pPr>
      <w:r>
        <w:rPr>
          <w:rFonts w:ascii="Times New Roman" w:hAnsi="Times New Roman"/>
          <w:caps w:val="0"/>
          <w:kern w:val="0"/>
          <w:sz w:val="32"/>
          <w:szCs w:val="32"/>
        </w:rPr>
        <w:t>各职能部门将生态环境保护相关经费纳入部门年度预算，同时对资金的使用过程进行全程监督，对资金使用效率进行审核与检查。</w:t>
      </w:r>
    </w:p>
    <w:p>
      <w:pPr>
        <w:pStyle w:val="4"/>
        <w:keepNext/>
        <w:keepLines/>
        <w:pageBreakBefore w:val="0"/>
        <w:widowControl w:val="0"/>
        <w:kinsoku/>
        <w:wordWrap/>
        <w:overflowPunct/>
        <w:topLinePunct w:val="0"/>
        <w:bidi w:val="0"/>
        <w:adjustRightInd/>
        <w:snapToGrid/>
        <w:spacing w:beforeLines="50" w:afterLines="50" w:line="240" w:lineRule="auto"/>
        <w:ind w:firstLine="632" w:firstLineChars="200"/>
        <w:jc w:val="both"/>
        <w:textAlignment w:val="auto"/>
        <w:rPr>
          <w:rFonts w:hint="default" w:ascii="Times New Roman" w:hAnsi="Times New Roman" w:eastAsia="楷体_GB2312" w:cs="Times New Roman"/>
          <w:b w:val="0"/>
          <w:bCs w:val="0"/>
          <w:caps w:val="0"/>
          <w:sz w:val="32"/>
          <w:szCs w:val="32"/>
        </w:rPr>
      </w:pPr>
      <w:bookmarkStart w:id="191" w:name="_Toc88053883"/>
      <w:r>
        <w:rPr>
          <w:rFonts w:hint="default" w:ascii="Times New Roman" w:hAnsi="Times New Roman" w:eastAsia="楷体_GB2312" w:cs="Times New Roman"/>
          <w:b w:val="0"/>
          <w:bCs w:val="0"/>
          <w:caps w:val="0"/>
          <w:sz w:val="32"/>
          <w:szCs w:val="32"/>
        </w:rPr>
        <w:t>8.4社会保障</w:t>
      </w:r>
      <w:bookmarkEnd w:id="191"/>
    </w:p>
    <w:p>
      <w:pPr>
        <w:pageBreakBefore w:val="0"/>
        <w:widowControl w:val="0"/>
        <w:kinsoku/>
        <w:wordWrap/>
        <w:overflowPunct/>
        <w:topLinePunct w:val="0"/>
        <w:bidi w:val="0"/>
        <w:adjustRightInd/>
        <w:snapToGrid/>
        <w:spacing w:line="240" w:lineRule="auto"/>
        <w:ind w:firstLine="632" w:firstLineChars="200"/>
        <w:jc w:val="both"/>
        <w:textAlignment w:val="auto"/>
        <w:rPr>
          <w:rFonts w:ascii="Times New Roman" w:hAnsi="Times New Roman"/>
          <w:b/>
          <w:bCs/>
          <w:caps w:val="0"/>
          <w:kern w:val="0"/>
          <w:sz w:val="32"/>
          <w:szCs w:val="32"/>
        </w:rPr>
      </w:pPr>
      <w:r>
        <w:rPr>
          <w:rFonts w:ascii="Times New Roman" w:hAnsi="Times New Roman"/>
          <w:b/>
          <w:bCs/>
          <w:caps w:val="0"/>
          <w:kern w:val="0"/>
          <w:sz w:val="32"/>
          <w:szCs w:val="32"/>
        </w:rPr>
        <w:t>（1）加强生态环保宣传教育</w:t>
      </w:r>
    </w:p>
    <w:p>
      <w:pPr>
        <w:pageBreakBefore w:val="0"/>
        <w:widowControl w:val="0"/>
        <w:kinsoku/>
        <w:wordWrap/>
        <w:overflowPunct/>
        <w:topLinePunct w:val="0"/>
        <w:bidi w:val="0"/>
        <w:adjustRightInd/>
        <w:snapToGrid/>
        <w:spacing w:line="240" w:lineRule="auto"/>
        <w:ind w:firstLine="632" w:firstLineChars="200"/>
        <w:jc w:val="both"/>
        <w:textAlignment w:val="auto"/>
        <w:rPr>
          <w:rFonts w:ascii="Times New Roman" w:hAnsi="Times New Roman"/>
          <w:caps w:val="0"/>
          <w:kern w:val="0"/>
          <w:sz w:val="32"/>
          <w:szCs w:val="32"/>
        </w:rPr>
      </w:pPr>
      <w:r>
        <w:rPr>
          <w:rFonts w:ascii="Times New Roman" w:hAnsi="Times New Roman"/>
          <w:caps w:val="0"/>
          <w:kern w:val="0"/>
          <w:sz w:val="32"/>
          <w:szCs w:val="32"/>
        </w:rPr>
        <w:t>继续深入开展生态环境保护宣传教育，把生态环保公益宣传作为重要任务，利用融媒体、电视、报刊、宣传册等宣传工具，及时报道党和国家生态环境政策措施，宣传环境与健康、绿色发展、循环经济、清洁生产等方面知识，推动居民践行绿色生活和消费方式，努力营造节约资源和保护环境的良好社会氛围。</w:t>
      </w:r>
    </w:p>
    <w:p>
      <w:pPr>
        <w:pageBreakBefore w:val="0"/>
        <w:widowControl w:val="0"/>
        <w:kinsoku/>
        <w:wordWrap/>
        <w:overflowPunct/>
        <w:topLinePunct w:val="0"/>
        <w:bidi w:val="0"/>
        <w:adjustRightInd/>
        <w:snapToGrid/>
        <w:spacing w:line="240" w:lineRule="auto"/>
        <w:ind w:firstLine="632" w:firstLineChars="200"/>
        <w:jc w:val="both"/>
        <w:textAlignment w:val="auto"/>
        <w:rPr>
          <w:rFonts w:hint="eastAsia" w:ascii="Times New Roman" w:hAnsi="Times New Roman" w:eastAsia="仿宋_GB2312" w:cs="仿宋_GB2312"/>
          <w:b/>
          <w:bCs/>
          <w:caps w:val="0"/>
          <w:kern w:val="0"/>
          <w:sz w:val="32"/>
          <w:szCs w:val="32"/>
        </w:rPr>
      </w:pPr>
      <w:r>
        <w:rPr>
          <w:rFonts w:ascii="Times New Roman" w:hAnsi="Times New Roman"/>
          <w:b/>
          <w:bCs/>
          <w:caps w:val="0"/>
          <w:kern w:val="0"/>
          <w:sz w:val="32"/>
          <w:szCs w:val="32"/>
        </w:rPr>
        <w:t>（2</w:t>
      </w:r>
      <w:r>
        <w:rPr>
          <w:rFonts w:hint="eastAsia" w:ascii="Times New Roman" w:hAnsi="Times New Roman" w:eastAsia="仿宋_GB2312" w:cs="仿宋_GB2312"/>
          <w:b/>
          <w:bCs/>
          <w:caps w:val="0"/>
          <w:kern w:val="0"/>
          <w:sz w:val="32"/>
          <w:szCs w:val="32"/>
        </w:rPr>
        <w:t>）鼓励公众参与，健全社会监督体系</w:t>
      </w:r>
    </w:p>
    <w:p>
      <w:pPr>
        <w:pageBreakBefore w:val="0"/>
        <w:widowControl w:val="0"/>
        <w:kinsoku/>
        <w:wordWrap/>
        <w:overflowPunct/>
        <w:topLinePunct w:val="0"/>
        <w:bidi w:val="0"/>
        <w:adjustRightInd/>
        <w:snapToGrid/>
        <w:spacing w:line="240" w:lineRule="auto"/>
        <w:ind w:firstLine="632" w:firstLineChars="200"/>
        <w:jc w:val="both"/>
        <w:textAlignment w:val="auto"/>
        <w:rPr>
          <w:rFonts w:hint="eastAsia" w:ascii="Times New Roman" w:hAnsi="Times New Roman" w:eastAsia="仿宋_GB2312" w:cs="仿宋_GB2312"/>
          <w:caps w:val="0"/>
          <w:kern w:val="0"/>
          <w:sz w:val="32"/>
          <w:szCs w:val="32"/>
        </w:rPr>
      </w:pPr>
      <w:r>
        <w:rPr>
          <w:rFonts w:hint="eastAsia" w:ascii="Times New Roman" w:hAnsi="Times New Roman" w:eastAsia="仿宋_GB2312" w:cs="仿宋_GB2312"/>
          <w:caps w:val="0"/>
          <w:kern w:val="0"/>
          <w:sz w:val="32"/>
          <w:szCs w:val="32"/>
        </w:rPr>
        <w:t>积极推动企业环境信息公开化。实行上市企业年度环境审计和信息披露制度，及时公开环境违法重点案件的查处情况。探索新型企业环境管理体制，促进企业提高自主守法水平和能力。</w:t>
      </w:r>
    </w:p>
    <w:p>
      <w:pPr>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bidi w:val="0"/>
        <w:adjustRightInd w:val="0"/>
        <w:snapToGrid/>
        <w:spacing w:line="240" w:lineRule="auto"/>
        <w:ind w:firstLine="482"/>
        <w:jc w:val="both"/>
        <w:textAlignment w:val="baseline"/>
        <w:rPr>
          <w:rFonts w:hint="eastAsia" w:ascii="Times New Roman" w:hAnsi="Times New Roman" w:eastAsia="仿宋_GB2312" w:cs="仿宋_GB2312"/>
          <w:caps w:val="0"/>
          <w:kern w:val="0"/>
          <w:sz w:val="32"/>
          <w:szCs w:val="32"/>
        </w:rPr>
      </w:pPr>
      <w:r>
        <w:rPr>
          <w:rFonts w:hint="eastAsia" w:ascii="Times New Roman" w:hAnsi="Times New Roman" w:eastAsia="仿宋_GB2312" w:cs="仿宋_GB2312"/>
          <w:caps w:val="0"/>
          <w:kern w:val="0"/>
          <w:sz w:val="32"/>
          <w:szCs w:val="32"/>
        </w:rPr>
        <w:t>完善公众参与渠道,建立环境问题论坛和环境保护问卷调查制度。完善公众参与环境决策的程序和方式，形成政府、企业、公众“三位一体”把关机制，保障公众在生态环境事务中的知情权和议事权。</w:t>
      </w: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caps w:val="0"/>
          <w:kern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caps w:val="0"/>
          <w:kern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caps w:val="0"/>
          <w:kern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caps w:val="0"/>
          <w:kern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caps w:val="0"/>
          <w:kern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caps w:val="0"/>
          <w:kern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caps w:val="0"/>
          <w:kern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caps w:val="0"/>
          <w:kern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caps w:val="0"/>
          <w:kern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caps w:val="0"/>
          <w:kern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caps w:val="0"/>
          <w:kern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eastAsia="黑体" w:cs="仿宋_GB2312"/>
          <w:bCs/>
          <w:caps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eastAsia="黑体" w:cs="仿宋_GB2312"/>
          <w:bCs/>
          <w:caps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eastAsia="黑体" w:cs="仿宋_GB2312"/>
          <w:bCs/>
          <w:caps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eastAsia="黑体" w:cs="仿宋_GB2312"/>
          <w:bCs/>
          <w:caps w:val="0"/>
          <w:sz w:val="32"/>
          <w:szCs w:val="32"/>
        </w:rPr>
      </w:pPr>
    </w:p>
    <w:p>
      <w:pPr>
        <w:pStyle w:val="2"/>
        <w:keepNext w:val="0"/>
        <w:keepLines w:val="0"/>
        <w:pageBreakBefore w:val="0"/>
        <w:kinsoku/>
        <w:wordWrap/>
        <w:overflowPunct/>
        <w:topLinePunct w:val="0"/>
        <w:autoSpaceDE/>
        <w:autoSpaceDN/>
        <w:bidi w:val="0"/>
        <w:snapToGrid/>
        <w:spacing w:line="240" w:lineRule="auto"/>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eastAsia="黑体" w:cs="仿宋_GB2312"/>
          <w:bCs/>
          <w:caps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eastAsia="黑体" w:cs="仿宋_GB2312"/>
          <w:bCs/>
          <w:caps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eastAsia="黑体" w:cs="仿宋_GB2312"/>
          <w:bCs/>
          <w:caps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eastAsia="黑体" w:cs="仿宋_GB2312"/>
          <w:bCs/>
          <w:caps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eastAsia="黑体" w:cs="仿宋_GB2312"/>
          <w:bCs/>
          <w:caps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eastAsia="黑体" w:cs="仿宋_GB2312"/>
          <w:bCs/>
          <w:caps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eastAsia="黑体" w:cs="仿宋_GB2312"/>
          <w:bCs/>
          <w:caps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eastAsia="黑体" w:cs="仿宋_GB2312"/>
          <w:bCs/>
          <w:caps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eastAsia="黑体" w:cs="仿宋_GB2312"/>
          <w:bCs/>
          <w:caps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eastAsia="黑体" w:cs="仿宋_GB2312"/>
          <w:bCs/>
          <w:caps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482"/>
        <w:jc w:val="left"/>
        <w:textAlignment w:val="baseline"/>
        <w:rPr>
          <w:rFonts w:ascii="Times New Roman" w:hAnsi="Times New Roman" w:eastAsia="黑体" w:cs="仿宋_GB2312"/>
          <w:bCs/>
          <w:caps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460" w:lineRule="exact"/>
        <w:ind w:firstLine="482"/>
        <w:jc w:val="left"/>
        <w:textAlignment w:val="baseline"/>
        <w:rPr>
          <w:rFonts w:ascii="Times New Roman" w:hAnsi="Times New Roman" w:eastAsia="黑体" w:cs="仿宋_GB2312"/>
          <w:bCs/>
          <w:caps w:val="0"/>
          <w:sz w:val="32"/>
          <w:szCs w:val="32"/>
        </w:rPr>
      </w:pPr>
    </w:p>
    <w:p>
      <w:pPr>
        <w:keepNext w:val="0"/>
        <w:keepLines w:val="0"/>
        <w:pageBreakBefore w:val="0"/>
        <w:widowControl/>
        <w:pBdr>
          <w:top w:val="none" w:color="auto" w:sz="0" w:space="1"/>
          <w:left w:val="none" w:color="auto" w:sz="0" w:space="4"/>
          <w:bottom w:val="none" w:color="auto" w:sz="0" w:space="1"/>
          <w:right w:val="none" w:color="auto" w:sz="0" w:space="4"/>
        </w:pBdr>
        <w:shd w:val="clear" w:color="auto" w:fill="auto"/>
        <w:kinsoku/>
        <w:wordWrap/>
        <w:overflowPunct/>
        <w:topLinePunct w:val="0"/>
        <w:autoSpaceDE/>
        <w:autoSpaceDN/>
        <w:bidi w:val="0"/>
        <w:adjustRightInd w:val="0"/>
        <w:snapToGrid/>
        <w:spacing w:line="240" w:lineRule="auto"/>
        <w:ind w:firstLine="0"/>
        <w:jc w:val="both"/>
        <w:textAlignment w:val="baseline"/>
        <w:rPr>
          <w:rFonts w:hint="eastAsia" w:ascii="Times New Roman" w:hAnsi="Times New Roman" w:eastAsia="仿宋_GB2312" w:cs="仿宋_GB2312"/>
          <w:bCs/>
          <w:caps w:val="0"/>
          <w:sz w:val="32"/>
          <w:szCs w:val="32"/>
        </w:rPr>
      </w:pPr>
      <w:r>
        <w:rPr>
          <w:rFonts w:hint="eastAsia" w:ascii="Times New Roman" w:hAnsi="Times New Roman" w:eastAsia="黑体" w:cs="仿宋_GB2312"/>
          <w:bCs/>
          <w:caps w:val="0"/>
          <w:sz w:val="32"/>
          <w:szCs w:val="32"/>
        </w:rPr>
        <w:t>公开方式：</w:t>
      </w:r>
      <w:r>
        <w:rPr>
          <w:rFonts w:hint="eastAsia" w:ascii="Times New Roman" w:hAnsi="Times New Roman" w:eastAsia="仿宋_GB2312" w:cs="仿宋_GB2312"/>
          <w:bCs/>
          <w:caps w:val="0"/>
          <w:sz w:val="32"/>
          <w:szCs w:val="32"/>
        </w:rPr>
        <w:t>主动公开</w:t>
      </w:r>
    </w:p>
    <w:p>
      <w:pPr>
        <w:keepNext w:val="0"/>
        <w:keepLines w:val="0"/>
        <w:pageBreakBefore w:val="0"/>
        <w:pBdr>
          <w:top w:val="none" w:color="auto" w:sz="0" w:space="1"/>
          <w:left w:val="none" w:color="auto" w:sz="0" w:space="4"/>
          <w:bottom w:val="single" w:color="auto" w:sz="6" w:space="1"/>
          <w:right w:val="none" w:color="auto" w:sz="0" w:space="4"/>
        </w:pBdr>
        <w:shd w:val="clear" w:color="040000" w:fill="auto"/>
        <w:kinsoku/>
        <w:wordWrap/>
        <w:overflowPunct/>
        <w:topLinePunct w:val="0"/>
        <w:autoSpaceDE/>
        <w:autoSpaceDN/>
        <w:bidi w:val="0"/>
        <w:adjustRightInd w:val="0"/>
        <w:snapToGrid/>
        <w:spacing w:line="560" w:lineRule="exact"/>
        <w:ind w:firstLine="482"/>
        <w:jc w:val="left"/>
        <w:rPr>
          <w:rFonts w:hint="eastAsia" w:ascii="Times New Roman" w:hAnsi="Times New Roman" w:eastAsia="仿宋_GB2312" w:cs="仿宋_GB2312"/>
          <w:b/>
          <w:caps w:val="0"/>
          <w:sz w:val="32"/>
          <w:szCs w:val="32"/>
        </w:rPr>
      </w:pPr>
    </w:p>
    <w:p>
      <w:pPr>
        <w:keepNext w:val="0"/>
        <w:keepLines w:val="0"/>
        <w:pageBreakBefore w:val="0"/>
        <w:pBdr>
          <w:top w:val="none" w:color="auto" w:sz="0" w:space="1"/>
          <w:left w:val="none" w:color="auto" w:sz="0" w:space="4"/>
          <w:bottom w:val="none" w:color="auto" w:sz="0" w:space="1"/>
          <w:right w:val="none" w:color="auto" w:sz="0" w:space="4"/>
        </w:pBdr>
        <w:shd w:val="clear" w:color="040000" w:fill="auto"/>
        <w:kinsoku/>
        <w:wordWrap/>
        <w:overflowPunct/>
        <w:topLinePunct w:val="0"/>
        <w:autoSpaceDE/>
        <w:autoSpaceDN/>
        <w:bidi w:val="0"/>
        <w:adjustRightInd w:val="0"/>
        <w:snapToGrid/>
        <w:spacing w:line="560" w:lineRule="exact"/>
        <w:ind w:firstLine="276" w:firstLineChars="100"/>
        <w:contextualSpacing/>
        <w:jc w:val="left"/>
        <w:rPr>
          <w:rFonts w:ascii="Times New Roman" w:hAnsi="Times New Roman" w:eastAsia="仿宋_GB2312"/>
          <w:caps w:val="0"/>
          <w:sz w:val="28"/>
          <w:szCs w:val="28"/>
        </w:rPr>
      </w:pPr>
      <w:r>
        <w:rPr>
          <w:rFonts w:ascii="Times New Roman" w:hAnsi="Times New Roman" w:eastAsia="仿宋_GB2312"/>
          <w:caps w:val="0"/>
          <w:sz w:val="28"/>
          <w:szCs w:val="28"/>
        </w:rPr>
        <w:t>抄送：区委各部委办局，区人大常委会办公室，区政协办公室，区纪</w:t>
      </w:r>
    </w:p>
    <w:p>
      <w:pPr>
        <w:keepNext w:val="0"/>
        <w:keepLines w:val="0"/>
        <w:pageBreakBefore w:val="0"/>
        <w:pBdr>
          <w:top w:val="none" w:color="auto" w:sz="0" w:space="1"/>
          <w:left w:val="none" w:color="auto" w:sz="0" w:space="4"/>
          <w:bottom w:val="none" w:color="auto" w:sz="0" w:space="1"/>
          <w:right w:val="none" w:color="auto" w:sz="0" w:space="4"/>
        </w:pBdr>
        <w:shd w:val="clear" w:color="040000" w:fill="auto"/>
        <w:kinsoku/>
        <w:wordWrap/>
        <w:overflowPunct/>
        <w:topLinePunct w:val="0"/>
        <w:autoSpaceDE/>
        <w:autoSpaceDN/>
        <w:bidi w:val="0"/>
        <w:adjustRightInd w:val="0"/>
        <w:snapToGrid/>
        <w:spacing w:line="560" w:lineRule="exact"/>
        <w:ind w:firstLine="1104" w:firstLineChars="400"/>
        <w:contextualSpacing/>
        <w:jc w:val="left"/>
        <w:rPr>
          <w:rFonts w:ascii="Times New Roman" w:hAnsi="Times New Roman" w:eastAsia="仿宋_GB2312"/>
          <w:caps w:val="0"/>
          <w:sz w:val="28"/>
          <w:szCs w:val="28"/>
        </w:rPr>
      </w:pPr>
      <w:r>
        <w:rPr>
          <w:rFonts w:ascii="Times New Roman" w:hAnsi="Times New Roman" w:eastAsia="仿宋_GB2312"/>
          <w:caps w:val="0"/>
          <w:sz w:val="28"/>
          <w:szCs w:val="28"/>
        </w:rPr>
        <w:t>委办公室，区法院，区检察院，各人民团体。</w:t>
      </w:r>
    </w:p>
    <w:p>
      <w:pPr>
        <w:keepNext w:val="0"/>
        <w:keepLines w:val="0"/>
        <w:pageBreakBefore w:val="0"/>
        <w:widowControl/>
        <w:pBdr>
          <w:top w:val="single" w:color="auto" w:sz="6" w:space="1"/>
          <w:left w:val="none" w:color="auto" w:sz="0" w:space="4"/>
          <w:bottom w:val="single" w:color="auto" w:sz="6" w:space="1"/>
          <w:right w:val="none" w:color="auto" w:sz="0" w:space="4"/>
        </w:pBdr>
        <w:shd w:val="clear" w:color="auto" w:fill="auto"/>
        <w:kinsoku/>
        <w:wordWrap/>
        <w:overflowPunct/>
        <w:topLinePunct w:val="0"/>
        <w:autoSpaceDE/>
        <w:autoSpaceDN/>
        <w:bidi w:val="0"/>
        <w:adjustRightInd w:val="0"/>
        <w:snapToGrid/>
        <w:spacing w:line="560" w:lineRule="exact"/>
        <w:ind w:firstLine="276" w:firstLineChars="100"/>
        <w:contextualSpacing/>
        <w:jc w:val="left"/>
        <w:textAlignment w:val="baseline"/>
        <w:rPr>
          <w:rFonts w:ascii="Times New Roman" w:hAnsi="Times New Roman"/>
          <w:caps w:val="0"/>
          <w:sz w:val="24"/>
        </w:rPr>
      </w:pPr>
      <w:r>
        <w:rPr>
          <w:rFonts w:ascii="Times New Roman" w:hAnsi="Times New Roman" w:eastAsia="仿宋_GB2312"/>
          <w:caps w:val="0"/>
          <w:sz w:val="28"/>
          <w:szCs w:val="28"/>
        </w:rPr>
        <w:t>广州市花都区人民政府办公室秘书科</w:t>
      </w:r>
      <w:r>
        <w:rPr>
          <w:rFonts w:ascii="Times New Roman" w:hAnsi="Times New Roman" w:eastAsia="仿宋_GB2312"/>
          <w:caps w:val="0"/>
          <w:spacing w:val="-20"/>
          <w:sz w:val="28"/>
          <w:szCs w:val="28"/>
        </w:rPr>
        <w:t xml:space="preserve">            </w:t>
      </w:r>
      <w:r>
        <w:rPr>
          <w:rFonts w:ascii="Times New Roman" w:hAnsi="Times New Roman" w:eastAsia="仿宋_GB2312"/>
          <w:caps w:val="0"/>
          <w:sz w:val="28"/>
          <w:szCs w:val="28"/>
        </w:rPr>
        <w:t>2021年</w:t>
      </w:r>
      <w:r>
        <w:rPr>
          <w:rFonts w:hint="eastAsia" w:ascii="Times New Roman" w:hAnsi="Times New Roman" w:eastAsia="仿宋_GB2312"/>
          <w:caps w:val="0"/>
          <w:sz w:val="28"/>
          <w:szCs w:val="28"/>
        </w:rPr>
        <w:t>12</w:t>
      </w:r>
      <w:r>
        <w:rPr>
          <w:rFonts w:ascii="Times New Roman" w:hAnsi="Times New Roman" w:eastAsia="仿宋_GB2312"/>
          <w:caps w:val="0"/>
          <w:sz w:val="28"/>
          <w:szCs w:val="28"/>
        </w:rPr>
        <w:t>月</w:t>
      </w:r>
      <w:r>
        <w:rPr>
          <w:rFonts w:hint="eastAsia"/>
          <w:caps w:val="0"/>
          <w:sz w:val="28"/>
          <w:szCs w:val="28"/>
          <w:lang w:val="en-US" w:eastAsia="zh-CN"/>
        </w:rPr>
        <w:t>31</w:t>
      </w:r>
      <w:r>
        <w:rPr>
          <w:rFonts w:ascii="Times New Roman" w:hAnsi="Times New Roman" w:eastAsia="仿宋_GB2312"/>
          <w:caps w:val="0"/>
          <w:sz w:val="28"/>
          <w:szCs w:val="28"/>
        </w:rPr>
        <w:t>日印发</w:t>
      </w:r>
      <w:bookmarkEnd w:id="186"/>
    </w:p>
    <w:sectPr>
      <w:headerReference r:id="rId13" w:type="default"/>
      <w:pgSz w:w="11906" w:h="16838"/>
      <w:pgMar w:top="2098" w:right="1474" w:bottom="1984" w:left="1587" w:header="851" w:footer="1531" w:gutter="0"/>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Tahoma">
    <w:altName w:val="DejaVu Sans"/>
    <w:panose1 w:val="020B0604030504040204"/>
    <w:charset w:val="00"/>
    <w:family w:val="auto"/>
    <w:pitch w:val="default"/>
    <w:sig w:usb0="00000000" w:usb1="00000000" w:usb2="00000029" w:usb3="00000000" w:csb0="200101FF" w:csb1="2028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等线">
    <w:altName w:val="黑体"/>
    <w:panose1 w:val="02010600030101010101"/>
    <w:charset w:val="86"/>
    <w:family w:val="auto"/>
    <w:pitch w:val="default"/>
    <w:sig w:usb0="00000000" w:usb1="00000000" w:usb2="00000016" w:usb3="00000000" w:csb0="0004000F" w:csb1="00000000"/>
  </w:font>
  <w:font w:name="方正大标宋_GBK">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rFonts w:ascii="Times New Roman" w:hAnsi="Times New Roman" w:eastAsia="仿宋_GB2312" w:cs="Times New Roman"/>
        <w:kern w:val="2"/>
        <w:sz w:val="18"/>
        <w:szCs w:val="18"/>
        <w:lang w:val="en-US" w:eastAsia="zh-CN" w:bidi="ar-SA"/>
      </w:rPr>
      <w:pict>
        <v:shape id="_x0000_s4097" o:spid="_x0000_s4097" o:spt="202" type="#_x0000_t202" style="position:absolute;left:0pt;margin-top:1.7pt;height:144pt;width:144pt;mso-position-horizontal:outside;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12"/>
                  <w:widowControl w:val="0"/>
                  <w:wordWrap/>
                  <w:adjustRightInd/>
                  <w:snapToGrid/>
                  <w:ind w:left="320" w:leftChars="100" w:right="32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37"/>
      </w:rPr>
    </w:pPr>
    <w:r>
      <w:fldChar w:fldCharType="begin"/>
    </w:r>
    <w:r>
      <w:rPr>
        <w:rStyle w:val="37"/>
      </w:rPr>
      <w:instrText xml:space="preserve">PAGE  </w:instrText>
    </w:r>
    <w:r>
      <w:fldChar w:fldCharType="separate"/>
    </w:r>
    <w:r>
      <w:rPr>
        <w:rStyle w:val="37"/>
      </w:rPr>
      <w:t>22</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w:rPr>
        <w:rFonts w:ascii="Times New Roman" w:hAnsi="Times New Roman" w:eastAsia="仿宋_GB2312" w:cs="Times New Roman"/>
        <w:kern w:val="2"/>
        <w:sz w:val="36"/>
        <w:szCs w:val="18"/>
        <w:lang w:val="en-US" w:eastAsia="zh-CN" w:bidi="ar-SA"/>
      </w:rPr>
      <w:pict>
        <v:shape id="_x0000_s4098" o:spid="_x0000_s4098" o:spt="202" type="#_x0000_t202" style="position:absolute;left:0pt;margin-top:1.7pt;height:144pt;width:144pt;mso-position-horizontal:outside;mso-position-horizontal-relative:margin;mso-wrap-style:none;z-index:251660288;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12"/>
                  <w:keepNext w:val="0"/>
                  <w:keepLines w:val="0"/>
                  <w:pageBreakBefore w:val="0"/>
                  <w:widowControl w:val="0"/>
                  <w:kinsoku/>
                  <w:wordWrap/>
                  <w:overflowPunct/>
                  <w:topLinePunct w:val="0"/>
                  <w:autoSpaceDE/>
                  <w:autoSpaceDN/>
                  <w:bidi w:val="0"/>
                  <w:adjustRightInd/>
                  <w:snapToGrid/>
                  <w:ind w:left="320" w:leftChars="100" w:right="32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sz w:val="28"/>
        <w:szCs w:val="28"/>
      </w:rPr>
    </w:pPr>
    <w:r>
      <w:rPr>
        <w:rFonts w:hint="eastAsia"/>
        <w:sz w:val="36"/>
        <w:szCs w:val="36"/>
      </w:rPr>
      <w:t>-</w:t>
    </w:r>
    <w:r>
      <w:rPr>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t>22</w:t>
    </w:r>
    <w:r>
      <w:rPr>
        <w:sz w:val="28"/>
        <w:szCs w:val="28"/>
      </w:rPr>
      <w:fldChar w:fldCharType="end"/>
    </w:r>
    <w:r>
      <w:rPr>
        <w:sz w:val="28"/>
        <w:szCs w:val="28"/>
      </w:rPr>
      <w:t xml:space="preserve"> </w:t>
    </w:r>
    <w:r>
      <w:rPr>
        <w:rFonts w:hint="eastAsia"/>
        <w:sz w:val="36"/>
        <w:szCs w:val="36"/>
      </w:rPr>
      <w:t>-</w:t>
    </w:r>
  </w:p>
  <w:p>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fldChar w:fldCharType="begin"/>
    </w:r>
    <w:r>
      <w:instrText xml:space="preserve">PAGE   \* MERGEFORMAT</w:instrText>
    </w:r>
    <w:r>
      <w:fldChar w:fldCharType="separate"/>
    </w:r>
    <w:r>
      <w:t>22</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316"/>
  <w:drawingGridVerticalSpacing w:val="579"/>
  <w:displayHorizontalDrawingGridEvery w:val="1"/>
  <w:displayVerticalDrawingGridEvery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BreakWrappedTables/>
    <w:doNotWrapTextWithPunct/>
    <w:doNotUseEastAsianBreakRules/>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5FCE96E"/>
    <w:rsid w:val="1F7F87B3"/>
    <w:rsid w:val="24CF6108"/>
    <w:rsid w:val="544828A6"/>
    <w:rsid w:val="5FB72E14"/>
    <w:rsid w:val="75FE404B"/>
    <w:rsid w:val="B36D2C7C"/>
    <w:rsid w:val="DABB22DE"/>
    <w:rsid w:val="F7F3CB3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2"/>
    <w:qFormat/>
    <w:uiPriority w:val="0"/>
    <w:pPr>
      <w:keepNext/>
      <w:keepLines/>
      <w:spacing w:before="260" w:after="260" w:line="416" w:lineRule="auto"/>
      <w:outlineLvl w:val="2"/>
    </w:pPr>
    <w:rPr>
      <w:rFonts w:eastAsia="宋体"/>
      <w:b/>
      <w:bCs/>
      <w:kern w:val="2"/>
      <w:sz w:val="32"/>
      <w:szCs w:val="32"/>
      <w:lang w:val="en-US" w:eastAsia="zh-CN" w:bidi="ar-SA"/>
    </w:rPr>
  </w:style>
  <w:style w:type="character" w:default="1" w:styleId="21">
    <w:name w:val="Default Paragraph Font"/>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customStyle="1" w:styleId="2">
    <w:name w:val="Normal Indent"/>
    <w:basedOn w:val="1"/>
    <w:link w:val="43"/>
    <w:qFormat/>
    <w:uiPriority w:val="0"/>
    <w:pPr>
      <w:spacing w:line="440" w:lineRule="exact"/>
      <w:ind w:firstLine="420"/>
    </w:pPr>
    <w:rPr>
      <w:rFonts w:eastAsia="仿宋_GB2312"/>
      <w:kern w:val="2"/>
      <w:sz w:val="28"/>
      <w:szCs w:val="28"/>
      <w:lang w:val="en-US" w:eastAsia="zh-CN" w:bidi="ar-SA"/>
    </w:rPr>
  </w:style>
  <w:style w:type="paragraph" w:styleId="6">
    <w:name w:val="toc 7"/>
    <w:basedOn w:val="1"/>
    <w:next w:val="1"/>
    <w:qFormat/>
    <w:uiPriority w:val="0"/>
    <w:pPr>
      <w:ind w:left="2520" w:leftChars="1200"/>
    </w:pPr>
  </w:style>
  <w:style w:type="paragraph" w:styleId="7">
    <w:name w:val="annotation text"/>
    <w:basedOn w:val="1"/>
    <w:link w:val="44"/>
    <w:qFormat/>
    <w:uiPriority w:val="0"/>
    <w:pPr>
      <w:jc w:val="left"/>
    </w:pPr>
    <w:rPr>
      <w:kern w:val="2"/>
      <w:sz w:val="21"/>
      <w:szCs w:val="24"/>
    </w:rPr>
  </w:style>
  <w:style w:type="paragraph" w:styleId="8">
    <w:name w:val="Body Text"/>
    <w:basedOn w:val="1"/>
    <w:qFormat/>
    <w:uiPriority w:val="0"/>
    <w:rPr>
      <w:rFonts w:ascii="仿宋_GB2312" w:hAnsi="宋体" w:eastAsia="仿宋_GB2312"/>
      <w:sz w:val="32"/>
    </w:rPr>
  </w:style>
  <w:style w:type="paragraph" w:styleId="9">
    <w:name w:val="toc 5"/>
    <w:basedOn w:val="1"/>
    <w:next w:val="1"/>
    <w:qFormat/>
    <w:uiPriority w:val="0"/>
    <w:pPr>
      <w:ind w:left="1680" w:leftChars="800"/>
    </w:pPr>
  </w:style>
  <w:style w:type="paragraph" w:styleId="10">
    <w:name w:val="toc 3"/>
    <w:basedOn w:val="1"/>
    <w:next w:val="1"/>
    <w:qFormat/>
    <w:uiPriority w:val="0"/>
    <w:pPr>
      <w:tabs>
        <w:tab w:val="right" w:leader="dot" w:pos="8296"/>
      </w:tabs>
      <w:ind w:left="840" w:leftChars="400"/>
    </w:pPr>
  </w:style>
  <w:style w:type="paragraph" w:styleId="11">
    <w:name w:val="toc 8"/>
    <w:basedOn w:val="1"/>
    <w:next w:val="1"/>
    <w:qFormat/>
    <w:uiPriority w:val="0"/>
    <w:pPr>
      <w:ind w:left="2940" w:leftChars="1400"/>
    </w:pPr>
  </w:style>
  <w:style w:type="paragraph" w:styleId="12">
    <w:name w:val="footer"/>
    <w:basedOn w:val="1"/>
    <w:link w:val="47"/>
    <w:qFormat/>
    <w:uiPriority w:val="0"/>
    <w:pPr>
      <w:tabs>
        <w:tab w:val="center" w:pos="4153"/>
        <w:tab w:val="right" w:pos="8306"/>
      </w:tabs>
      <w:snapToGrid w:val="0"/>
      <w:jc w:val="left"/>
    </w:pPr>
    <w:rPr>
      <w:kern w:val="2"/>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pPr>
      <w:tabs>
        <w:tab w:val="right" w:leader="dot" w:pos="8296"/>
      </w:tabs>
      <w:spacing w:line="276" w:lineRule="auto"/>
      <w:jc w:val="left"/>
    </w:pPr>
    <w:rPr>
      <w:rFonts w:ascii="宋体" w:hAnsi="宋体"/>
      <w:b/>
      <w:bCs/>
      <w:caps/>
    </w:rPr>
  </w:style>
  <w:style w:type="paragraph" w:styleId="15">
    <w:name w:val="toc 4"/>
    <w:basedOn w:val="1"/>
    <w:next w:val="1"/>
    <w:qFormat/>
    <w:uiPriority w:val="0"/>
    <w:pPr>
      <w:ind w:left="1260" w:leftChars="600"/>
    </w:pPr>
  </w:style>
  <w:style w:type="paragraph" w:styleId="16">
    <w:name w:val="footnote text"/>
    <w:basedOn w:val="1"/>
    <w:qFormat/>
    <w:uiPriority w:val="0"/>
    <w:pPr>
      <w:snapToGrid w:val="0"/>
      <w:jc w:val="left"/>
    </w:pPr>
    <w:rPr>
      <w:sz w:val="18"/>
      <w:szCs w:val="18"/>
    </w:rPr>
  </w:style>
  <w:style w:type="paragraph" w:styleId="17">
    <w:name w:val="toc 6"/>
    <w:basedOn w:val="1"/>
    <w:next w:val="1"/>
    <w:qFormat/>
    <w:uiPriority w:val="0"/>
    <w:pPr>
      <w:ind w:left="2100" w:leftChars="1000"/>
    </w:pPr>
  </w:style>
  <w:style w:type="paragraph" w:styleId="18">
    <w:name w:val="toc 2"/>
    <w:basedOn w:val="1"/>
    <w:next w:val="1"/>
    <w:qFormat/>
    <w:uiPriority w:val="0"/>
    <w:pPr>
      <w:ind w:left="420" w:leftChars="200"/>
    </w:pPr>
  </w:style>
  <w:style w:type="paragraph" w:styleId="19">
    <w:name w:val="toc 9"/>
    <w:basedOn w:val="1"/>
    <w:next w:val="1"/>
    <w:qFormat/>
    <w:uiPriority w:val="0"/>
    <w:pPr>
      <w:ind w:left="3360" w:leftChars="1600"/>
    </w:pPr>
  </w:style>
  <w:style w:type="character" w:styleId="22">
    <w:name w:val="Strong"/>
    <w:qFormat/>
    <w:uiPriority w:val="0"/>
    <w:rPr>
      <w:b/>
      <w:bCs/>
    </w:rPr>
  </w:style>
  <w:style w:type="character" w:styleId="23">
    <w:name w:val="Hyperlink"/>
    <w:qFormat/>
    <w:uiPriority w:val="0"/>
    <w:rPr>
      <w:color w:val="0000FF"/>
      <w:u w:val="single"/>
    </w:rPr>
  </w:style>
  <w:style w:type="character" w:styleId="24">
    <w:name w:val="footnote reference"/>
    <w:qFormat/>
    <w:uiPriority w:val="0"/>
    <w:rPr>
      <w:vertAlign w:val="superscript"/>
    </w:rPr>
  </w:style>
  <w:style w:type="paragraph" w:customStyle="1" w:styleId="25">
    <w:name w:val="批注框文本 Char Char"/>
    <w:basedOn w:val="1"/>
    <w:qFormat/>
    <w:uiPriority w:val="0"/>
    <w:rPr>
      <w:sz w:val="18"/>
      <w:szCs w:val="18"/>
    </w:rPr>
  </w:style>
  <w:style w:type="paragraph" w:customStyle="1" w:styleId="26">
    <w:name w:val="Document Map"/>
    <w:basedOn w:val="1"/>
    <w:qFormat/>
    <w:uiPriority w:val="0"/>
    <w:pPr>
      <w:shd w:val="clear" w:color="auto" w:fill="000080"/>
    </w:pPr>
  </w:style>
  <w:style w:type="paragraph" w:customStyle="1" w:styleId="27">
    <w:name w:val="Body Text Indent"/>
    <w:basedOn w:val="1"/>
    <w:qFormat/>
    <w:uiPriority w:val="0"/>
    <w:pPr>
      <w:spacing w:line="640" w:lineRule="exact"/>
      <w:ind w:firstLine="480" w:firstLineChars="200"/>
    </w:pPr>
    <w:rPr>
      <w:sz w:val="24"/>
    </w:rPr>
  </w:style>
  <w:style w:type="paragraph" w:customStyle="1" w:styleId="28">
    <w:name w:val="Plain Text"/>
    <w:basedOn w:val="1"/>
    <w:link w:val="41"/>
    <w:qFormat/>
    <w:uiPriority w:val="0"/>
    <w:rPr>
      <w:rFonts w:ascii="宋体" w:hAnsi="Courier New" w:eastAsia="宋体" w:cs="Courier New"/>
      <w:kern w:val="2"/>
      <w:sz w:val="21"/>
      <w:szCs w:val="21"/>
      <w:lang w:val="en-US" w:eastAsia="zh-CN" w:bidi="ar-SA"/>
    </w:rPr>
  </w:style>
  <w:style w:type="paragraph" w:customStyle="1" w:styleId="29">
    <w:name w:val="Body Text Indent 2"/>
    <w:basedOn w:val="1"/>
    <w:qFormat/>
    <w:uiPriority w:val="0"/>
    <w:pPr>
      <w:spacing w:line="360" w:lineRule="auto"/>
      <w:ind w:firstLine="480" w:firstLineChars="200"/>
    </w:pPr>
    <w:rPr>
      <w:rFonts w:ascii="宋体" w:hAnsi="宋体"/>
      <w:color w:val="000000"/>
      <w:sz w:val="24"/>
    </w:rPr>
  </w:style>
  <w:style w:type="paragraph" w:customStyle="1" w:styleId="30">
    <w:name w:val="Body Text Indent 3"/>
    <w:basedOn w:val="1"/>
    <w:qFormat/>
    <w:uiPriority w:val="0"/>
    <w:pPr>
      <w:spacing w:beforeLines="50" w:line="360" w:lineRule="auto"/>
      <w:ind w:firstLine="560" w:firstLineChars="200"/>
      <w:jc w:val="left"/>
    </w:pPr>
    <w:rPr>
      <w:rFonts w:eastAsia="仿宋_GB2312"/>
      <w:color w:val="000000"/>
      <w:sz w:val="28"/>
    </w:rPr>
  </w:style>
  <w:style w:type="paragraph" w:customStyle="1" w:styleId="31">
    <w:name w:val="annotation subject"/>
    <w:basedOn w:val="7"/>
    <w:next w:val="7"/>
    <w:link w:val="45"/>
    <w:qFormat/>
    <w:uiPriority w:val="0"/>
    <w:rPr>
      <w:b/>
      <w:bCs/>
      <w:kern w:val="2"/>
      <w:sz w:val="21"/>
      <w:szCs w:val="24"/>
    </w:rPr>
  </w:style>
  <w:style w:type="paragraph" w:customStyle="1" w:styleId="32">
    <w:name w:val="表1表2"/>
    <w:basedOn w:val="1"/>
    <w:qFormat/>
    <w:uiPriority w:val="0"/>
    <w:pPr>
      <w:autoSpaceDE w:val="0"/>
      <w:autoSpaceDN w:val="0"/>
      <w:adjustRightInd w:val="0"/>
      <w:jc w:val="center"/>
      <w:textAlignment w:val="center"/>
    </w:pPr>
    <w:rPr>
      <w:rFonts w:eastAsia="仿宋_GB2312"/>
      <w:kern w:val="0"/>
    </w:rPr>
  </w:style>
  <w:style w:type="paragraph" w:customStyle="1" w:styleId="33">
    <w:name w:val="Char Char Char Char"/>
    <w:basedOn w:val="1"/>
    <w:qFormat/>
    <w:uiPriority w:val="0"/>
    <w:pPr>
      <w:jc w:val="center"/>
    </w:pPr>
    <w:rPr>
      <w:rFonts w:ascii="Tahoma" w:hAnsi="Tahoma"/>
      <w:spacing w:val="10"/>
      <w:sz w:val="24"/>
      <w:szCs w:val="21"/>
    </w:rPr>
  </w:style>
  <w:style w:type="paragraph" w:customStyle="1" w:styleId="34">
    <w:name w:val="表格"/>
    <w:basedOn w:val="1"/>
    <w:next w:val="1"/>
    <w:qFormat/>
    <w:uiPriority w:val="0"/>
    <w:pPr>
      <w:tabs>
        <w:tab w:val="left" w:pos="3120"/>
      </w:tabs>
      <w:autoSpaceDE w:val="0"/>
      <w:autoSpaceDN w:val="0"/>
      <w:adjustRightInd w:val="0"/>
      <w:snapToGrid w:val="0"/>
      <w:jc w:val="center"/>
      <w:textAlignment w:val="baseline"/>
    </w:pPr>
    <w:rPr>
      <w:rFonts w:ascii="宋体" w:hAnsi="宋体" w:eastAsia="楷体_GB2312"/>
      <w:bCs/>
      <w:snapToGrid w:val="0"/>
      <w:kern w:val="0"/>
      <w:szCs w:val="20"/>
      <w:lang w:val="zh-CN"/>
    </w:rPr>
  </w:style>
  <w:style w:type="paragraph" w:customStyle="1" w:styleId="35">
    <w:name w:val="正文（韶关）"/>
    <w:basedOn w:val="1"/>
    <w:qFormat/>
    <w:uiPriority w:val="0"/>
    <w:pPr>
      <w:tabs>
        <w:tab w:val="left" w:pos="7996"/>
      </w:tabs>
      <w:autoSpaceDE w:val="0"/>
      <w:autoSpaceDN w:val="0"/>
      <w:spacing w:beforeLines="50" w:after="120" w:line="360" w:lineRule="auto"/>
      <w:ind w:firstLine="200" w:firstLineChars="200"/>
    </w:pPr>
    <w:rPr>
      <w:rFonts w:cs="宋体"/>
      <w:sz w:val="24"/>
      <w:szCs w:val="18"/>
    </w:rPr>
  </w:style>
  <w:style w:type="paragraph" w:customStyle="1" w:styleId="36">
    <w:name w:val="Revision"/>
    <w:qFormat/>
    <w:uiPriority w:val="0"/>
    <w:rPr>
      <w:rFonts w:ascii="Times New Roman" w:hAnsi="Times New Roman" w:eastAsia="宋体" w:cs="Times New Roman"/>
      <w:kern w:val="2"/>
      <w:sz w:val="21"/>
      <w:szCs w:val="24"/>
      <w:lang w:val="en-US" w:eastAsia="zh-CN" w:bidi="ar-SA"/>
    </w:rPr>
  </w:style>
  <w:style w:type="character" w:customStyle="1" w:styleId="37">
    <w:name w:val="page number"/>
    <w:basedOn w:val="21"/>
    <w:qFormat/>
    <w:uiPriority w:val="0"/>
  </w:style>
  <w:style w:type="character" w:customStyle="1" w:styleId="38">
    <w:name w:val="annotation reference"/>
    <w:qFormat/>
    <w:uiPriority w:val="0"/>
    <w:rPr>
      <w:sz w:val="21"/>
      <w:szCs w:val="21"/>
    </w:rPr>
  </w:style>
  <w:style w:type="character" w:customStyle="1" w:styleId="39">
    <w:name w:val="9hao1"/>
    <w:qFormat/>
    <w:uiPriority w:val="0"/>
    <w:rPr>
      <w:sz w:val="18"/>
      <w:szCs w:val="18"/>
    </w:rPr>
  </w:style>
  <w:style w:type="character" w:customStyle="1" w:styleId="40">
    <w:name w:val="标题1"/>
    <w:basedOn w:val="21"/>
    <w:qFormat/>
    <w:uiPriority w:val="0"/>
  </w:style>
  <w:style w:type="character" w:customStyle="1" w:styleId="41">
    <w:name w:val="纯文本 字符"/>
    <w:link w:val="28"/>
    <w:semiHidden/>
    <w:qFormat/>
    <w:uiPriority w:val="0"/>
    <w:rPr>
      <w:rFonts w:ascii="宋体" w:hAnsi="Courier New" w:eastAsia="宋体" w:cs="Courier New"/>
      <w:kern w:val="2"/>
      <w:sz w:val="21"/>
      <w:szCs w:val="21"/>
      <w:lang w:val="en-US" w:eastAsia="zh-CN" w:bidi="ar-SA"/>
    </w:rPr>
  </w:style>
  <w:style w:type="character" w:customStyle="1" w:styleId="42">
    <w:name w:val="标题 3 字符"/>
    <w:link w:val="5"/>
    <w:semiHidden/>
    <w:qFormat/>
    <w:uiPriority w:val="0"/>
    <w:rPr>
      <w:rFonts w:eastAsia="宋体"/>
      <w:b/>
      <w:bCs/>
      <w:kern w:val="2"/>
      <w:sz w:val="32"/>
      <w:szCs w:val="32"/>
      <w:lang w:val="en-US" w:eastAsia="zh-CN" w:bidi="ar-SA"/>
    </w:rPr>
  </w:style>
  <w:style w:type="character" w:customStyle="1" w:styleId="43">
    <w:name w:val="正文缩进 字符"/>
    <w:link w:val="2"/>
    <w:semiHidden/>
    <w:qFormat/>
    <w:uiPriority w:val="0"/>
    <w:rPr>
      <w:rFonts w:eastAsia="仿宋_GB2312"/>
      <w:kern w:val="2"/>
      <w:sz w:val="28"/>
      <w:szCs w:val="28"/>
      <w:lang w:val="en-US" w:eastAsia="zh-CN" w:bidi="ar-SA"/>
    </w:rPr>
  </w:style>
  <w:style w:type="character" w:customStyle="1" w:styleId="44">
    <w:name w:val="批注文字 字符"/>
    <w:link w:val="7"/>
    <w:semiHidden/>
    <w:qFormat/>
    <w:uiPriority w:val="0"/>
    <w:rPr>
      <w:kern w:val="2"/>
      <w:sz w:val="21"/>
      <w:szCs w:val="24"/>
    </w:rPr>
  </w:style>
  <w:style w:type="character" w:customStyle="1" w:styleId="45">
    <w:name w:val="批注主题 字符"/>
    <w:link w:val="31"/>
    <w:semiHidden/>
    <w:qFormat/>
    <w:uiPriority w:val="0"/>
    <w:rPr>
      <w:b/>
      <w:bCs/>
      <w:kern w:val="2"/>
      <w:sz w:val="21"/>
      <w:szCs w:val="24"/>
    </w:rPr>
  </w:style>
  <w:style w:type="character" w:customStyle="1" w:styleId="46">
    <w:name w:val="Unresolved Mention"/>
    <w:qFormat/>
    <w:uiPriority w:val="0"/>
    <w:rPr>
      <w:color w:val="605E5C"/>
      <w:shd w:val="clear" w:color="auto" w:fill="E1DFDD"/>
    </w:rPr>
  </w:style>
  <w:style w:type="character" w:customStyle="1" w:styleId="47">
    <w:name w:val="页脚 字符"/>
    <w:link w:val="12"/>
    <w:semiHidden/>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COMMONORG</Company>
  <Pages>76</Pages>
  <Words>9519</Words>
  <Characters>54261</Characters>
  <Lines>452</Lines>
  <Paragraphs>127</Paragraphs>
  <TotalTime>21</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2021-12-28T19:11:00Z</dcterms:created>
  <dc:creator>COMMON</dc:creator>
  <cp:lastModifiedBy>guest</cp:lastModifiedBy>
  <cp:lastPrinted>2022-01-12T11:52:00Z</cp:lastPrinted>
  <dcterms:modified xsi:type="dcterms:W3CDTF">2026-07-21T17:11:50Z</dcterms:modified>
  <dc:title>guest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