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right"/>
        <w:rPr>
          <w:rFonts w:hint="default" w:ascii="Times New Roman" w:hAnsi="Times New Roman" w:eastAsia="方正小标宋_GBK" w:cs="Times New Roman"/>
          <w:bCs/>
          <w:color w:val="auto"/>
          <w:sz w:val="44"/>
          <w:szCs w:val="44"/>
        </w:rPr>
      </w:pPr>
      <w:r>
        <w:rPr>
          <w:rFonts w:hint="default" w:ascii="Times New Roman" w:hAnsi="Times New Roman" w:eastAsia="仿宋_GB2312" w:cs="Times New Roman"/>
          <w:sz w:val="32"/>
          <w:szCs w:val="32"/>
          <w:highlight w:val="none"/>
          <w:lang w:val="en-US" w:eastAsia="zh-CN"/>
        </w:rPr>
        <w:t>粤府土审（02）〔2024〕175号</w:t>
      </w:r>
    </w:p>
    <w:p>
      <w:pPr>
        <w:spacing w:line="560" w:lineRule="exact"/>
        <w:jc w:val="center"/>
        <w:rPr>
          <w:rFonts w:hint="default" w:ascii="Times New Roman" w:hAnsi="Times New Roman" w:eastAsia="方正小标宋_GBK" w:cs="Times New Roman"/>
          <w:bCs/>
          <w:color w:val="auto"/>
          <w:sz w:val="44"/>
          <w:szCs w:val="44"/>
        </w:rPr>
      </w:pPr>
    </w:p>
    <w:p>
      <w:pPr>
        <w:spacing w:line="560" w:lineRule="exact"/>
        <w:jc w:val="center"/>
        <w:rPr>
          <w:rFonts w:hint="default" w:ascii="Times New Roman" w:hAnsi="Times New Roman" w:eastAsia="方正小标宋简体" w:cs="Times New Roman"/>
          <w:bCs/>
          <w:color w:val="auto"/>
          <w:sz w:val="44"/>
          <w:szCs w:val="44"/>
        </w:rPr>
      </w:pPr>
      <w:bookmarkStart w:id="0" w:name="_GoBack"/>
      <w:r>
        <w:rPr>
          <w:rFonts w:hint="default" w:ascii="Times New Roman" w:hAnsi="Times New Roman" w:eastAsia="方正小标宋简体" w:cs="Times New Roman"/>
          <w:bCs/>
          <w:color w:val="auto"/>
          <w:sz w:val="44"/>
          <w:szCs w:val="44"/>
        </w:rPr>
        <w:t>广东省人民政府关于广州市花都区20</w:t>
      </w:r>
      <w:r>
        <w:rPr>
          <w:rFonts w:hint="default" w:ascii="Times New Roman" w:hAnsi="Times New Roman" w:eastAsia="方正小标宋简体" w:cs="Times New Roman"/>
          <w:bCs/>
          <w:color w:val="auto"/>
          <w:sz w:val="44"/>
          <w:szCs w:val="44"/>
          <w:lang w:val="en-US" w:eastAsia="zh-CN"/>
        </w:rPr>
        <w:t>23</w:t>
      </w:r>
      <w:r>
        <w:rPr>
          <w:rFonts w:hint="default" w:ascii="Times New Roman" w:hAnsi="Times New Roman" w:eastAsia="方正小标宋简体" w:cs="Times New Roman"/>
          <w:bCs/>
          <w:color w:val="auto"/>
          <w:sz w:val="44"/>
          <w:szCs w:val="44"/>
        </w:rPr>
        <w:t>年度</w:t>
      </w:r>
    </w:p>
    <w:p>
      <w:pPr>
        <w:spacing w:line="560" w:lineRule="exact"/>
        <w:jc w:val="center"/>
        <w:rPr>
          <w:rFonts w:hint="default" w:ascii="Times New Roman" w:hAnsi="Times New Roman" w:eastAsia="方正小标宋_GBK" w:cs="Times New Roman"/>
          <w:bCs/>
          <w:color w:val="auto"/>
          <w:sz w:val="44"/>
          <w:szCs w:val="44"/>
          <w:u w:val="none"/>
        </w:rPr>
      </w:pPr>
      <w:r>
        <w:rPr>
          <w:rFonts w:hint="default" w:ascii="Times New Roman" w:hAnsi="Times New Roman" w:eastAsia="方正小标宋简体" w:cs="Times New Roman"/>
          <w:bCs/>
          <w:color w:val="auto"/>
          <w:sz w:val="44"/>
          <w:szCs w:val="44"/>
        </w:rPr>
        <w:t>第</w:t>
      </w:r>
      <w:r>
        <w:rPr>
          <w:rFonts w:hint="default" w:ascii="Times New Roman" w:hAnsi="Times New Roman" w:eastAsia="方正小标宋简体" w:cs="Times New Roman"/>
          <w:bCs/>
          <w:color w:val="auto"/>
          <w:sz w:val="44"/>
          <w:szCs w:val="44"/>
          <w:lang w:val="en-US" w:eastAsia="zh-CN"/>
        </w:rPr>
        <w:t>八十</w:t>
      </w:r>
      <w:r>
        <w:rPr>
          <w:rFonts w:hint="default" w:ascii="Times New Roman" w:hAnsi="Times New Roman" w:eastAsia="方正小标宋简体" w:cs="Times New Roman"/>
          <w:bCs/>
          <w:color w:val="auto"/>
          <w:sz w:val="44"/>
          <w:szCs w:val="44"/>
        </w:rPr>
        <w:t>批次城镇建设用地</w:t>
      </w:r>
      <w:r>
        <w:rPr>
          <w:rFonts w:hint="default" w:ascii="Times New Roman" w:hAnsi="Times New Roman" w:eastAsia="方正小标宋简体" w:cs="Times New Roman"/>
          <w:bCs/>
          <w:color w:val="auto"/>
          <w:sz w:val="44"/>
          <w:szCs w:val="44"/>
          <w:u w:val="none"/>
        </w:rPr>
        <w:t>的批复</w:t>
      </w:r>
    </w:p>
    <w:bookmarkEnd w:id="0"/>
    <w:p>
      <w:pPr>
        <w:widowControl/>
        <w:spacing w:line="600" w:lineRule="exact"/>
        <w:jc w:val="center"/>
        <w:textAlignment w:val="baseline"/>
        <w:rPr>
          <w:rFonts w:hint="default" w:ascii="Times New Roman" w:hAnsi="Times New Roman" w:cs="Times New Roman"/>
          <w:b/>
          <w:color w:val="auto"/>
          <w:sz w:val="32"/>
          <w:szCs w:val="32"/>
          <w:u w:val="none"/>
        </w:rPr>
      </w:pPr>
    </w:p>
    <w:p>
      <w:pPr>
        <w:widowControl/>
        <w:spacing w:line="560" w:lineRule="exact"/>
        <w:jc w:val="left"/>
        <w:textAlignment w:val="baseline"/>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广州市人民政府：</w:t>
      </w:r>
    </w:p>
    <w:p>
      <w:pPr>
        <w:keepNext w:val="0"/>
        <w:keepLines w:val="0"/>
        <w:pageBreakBefore w:val="0"/>
        <w:widowControl/>
        <w:kinsoku/>
        <w:wordWrap/>
        <w:overflowPunct/>
        <w:topLinePunct w:val="0"/>
        <w:bidi w:val="0"/>
        <w:adjustRightInd/>
        <w:snapToGrid/>
        <w:spacing w:line="560" w:lineRule="exact"/>
        <w:ind w:firstLine="645"/>
        <w:textAlignment w:val="baseline"/>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《广州市规划和自然资源局关于审批广州市花都区2023年度第八十批次城镇建设用地的请示》</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穗规划资源(用地)报</w:t>
      </w:r>
      <w:r>
        <w:rPr>
          <w:rFonts w:hint="default" w:ascii="Times New Roman" w:hAnsi="Times New Roman" w:eastAsia="仿宋_GB2312" w:cs="Times New Roman"/>
          <w:sz w:val="32"/>
          <w:szCs w:val="32"/>
          <w:highlight w:val="none"/>
          <w:lang w:val="en-US" w:eastAsia="zh-CN"/>
        </w:rPr>
        <w:t>〔2024〕</w:t>
      </w:r>
      <w:r>
        <w:rPr>
          <w:rFonts w:hint="default" w:ascii="Times New Roman" w:hAnsi="Times New Roman" w:eastAsia="仿宋_GB2312" w:cs="Times New Roman"/>
          <w:color w:val="auto"/>
          <w:sz w:val="32"/>
          <w:szCs w:val="32"/>
          <w:lang w:val="en-US" w:eastAsia="zh-CN"/>
        </w:rPr>
        <w:t>478号</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、《广州市花都区人民政府关于申请广州市花都区2023年度第八十批次城镇建设用地土地征收的请示》</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花府字</w:t>
      </w:r>
      <w:r>
        <w:rPr>
          <w:rFonts w:hint="default" w:ascii="Times New Roman" w:hAnsi="Times New Roman" w:eastAsia="仿宋_GB2312" w:cs="Times New Roman"/>
          <w:sz w:val="32"/>
          <w:szCs w:val="32"/>
          <w:highlight w:val="none"/>
          <w:lang w:val="en-US" w:eastAsia="zh-CN"/>
        </w:rPr>
        <w:t>〔2024〕</w:t>
      </w:r>
      <w:r>
        <w:rPr>
          <w:rFonts w:hint="default" w:ascii="Times New Roman" w:hAnsi="Times New Roman" w:eastAsia="仿宋_GB2312" w:cs="Times New Roman"/>
          <w:color w:val="auto"/>
          <w:sz w:val="32"/>
          <w:szCs w:val="32"/>
          <w:lang w:val="en-US" w:eastAsia="zh-CN"/>
        </w:rPr>
        <w:t>89号</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及相关材料已通过审核。根据《中华人民共和国土地管理法》第四十四、四十五、四十六条，批复如下：</w:t>
      </w:r>
    </w:p>
    <w:p>
      <w:pPr>
        <w:widowControl/>
        <w:spacing w:line="600" w:lineRule="exact"/>
        <w:ind w:firstLine="632" w:firstLineChars="2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一、同意使用3.9272公顷城镇建设用地，即同意你市将花都区炭步镇鸭湖水边经济合作社属下的集体农用地3.9271公顷</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其中耕地0.2883公顷</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转为建设用地，同时使用上述有关村集体建设用地0.0001公顷，以上合计3.9272公顷集体土地一并办理征地手续。上述批准建设用地3.9272公顷由当地人民政府依法依规供应。</w:t>
      </w:r>
    </w:p>
    <w:p>
      <w:pPr>
        <w:widowControl/>
        <w:spacing w:line="600" w:lineRule="exact"/>
        <w:ind w:firstLine="632" w:firstLineChars="2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二、请你市人民政府负责落实补充耕地。督促补充耕地责任单位认真落实耕地占补平衡，补充数量相等、质量相当的耕地，对应核销耕地数量、水田规模和标准粮食产能指标</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确认信息编号:440000202400656253</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，落实建设占用耕地耕作层土壤剥离利用。</w:t>
      </w:r>
    </w:p>
    <w:p>
      <w:pPr>
        <w:widowControl/>
        <w:spacing w:line="600" w:lineRule="exact"/>
        <w:ind w:firstLine="632" w:firstLineChars="2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你市相关不动产登记机构以此办理集体土地所有权注销或变更登记。</w:t>
      </w:r>
    </w:p>
    <w:p>
      <w:pPr>
        <w:widowControl/>
        <w:spacing w:line="600" w:lineRule="exact"/>
        <w:ind w:firstLine="632" w:firstLineChars="2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四、使用土地涉及的耕地占用税等有关税费的收缴或调整，请按有关规定办理。</w:t>
      </w:r>
    </w:p>
    <w:p>
      <w:pPr>
        <w:widowControl/>
        <w:spacing w:line="600" w:lineRule="exact"/>
        <w:ind w:firstLine="632" w:firstLineChars="2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五、征地批后实施情况和具体项目供地情况须按规定报备</w:t>
      </w:r>
    </w:p>
    <w:p>
      <w:pPr>
        <w:widowControl/>
        <w:spacing w:line="600" w:lineRule="exact"/>
        <w:ind w:firstLine="645"/>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w:t>
      </w:r>
    </w:p>
    <w:p>
      <w:pPr>
        <w:widowControl/>
        <w:spacing w:line="600" w:lineRule="exact"/>
        <w:ind w:firstLine="5372" w:firstLineChars="17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广东省人民政府</w:t>
      </w:r>
    </w:p>
    <w:p>
      <w:pPr>
        <w:widowControl/>
        <w:spacing w:line="600" w:lineRule="exact"/>
        <w:ind w:firstLine="645"/>
        <w:jc w:val="center"/>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kern w:val="2"/>
          <w:sz w:val="32"/>
          <w:szCs w:val="32"/>
          <w:highlight w:val="none"/>
          <w:u w:val="none"/>
          <w:lang w:val="en-US" w:eastAsia="zh-CN" w:bidi="ar-SA"/>
        </w:rPr>
        <w:t>202</w:t>
      </w:r>
      <w:r>
        <w:rPr>
          <w:rFonts w:hint="default" w:ascii="Times New Roman" w:hAnsi="Times New Roman" w:eastAsia="仿宋_GB2312" w:cs="Times New Roman"/>
          <w:color w:val="auto"/>
          <w:kern w:val="2"/>
          <w:sz w:val="32"/>
          <w:szCs w:val="32"/>
          <w:highlight w:val="none"/>
          <w:u w:val="none"/>
          <w:lang w:val="en-US" w:eastAsia="zh-CN" w:bidi="ar-SA"/>
        </w:rPr>
        <w:t>4</w:t>
      </w:r>
      <w:r>
        <w:rPr>
          <w:rFonts w:hint="default" w:ascii="Times New Roman" w:hAnsi="Times New Roman" w:eastAsia="仿宋_GB2312" w:cs="Times New Roman"/>
          <w:color w:val="auto"/>
          <w:kern w:val="2"/>
          <w:sz w:val="32"/>
          <w:szCs w:val="32"/>
          <w:highlight w:val="none"/>
          <w:u w:val="none"/>
          <w:lang w:val="en-US" w:eastAsia="zh-CN" w:bidi="ar-SA"/>
        </w:rPr>
        <w:t>年</w:t>
      </w:r>
      <w:r>
        <w:rPr>
          <w:rFonts w:hint="default" w:ascii="Times New Roman" w:hAnsi="Times New Roman" w:eastAsia="仿宋_GB2312" w:cs="Times New Roman"/>
          <w:color w:val="auto"/>
          <w:kern w:val="2"/>
          <w:sz w:val="32"/>
          <w:szCs w:val="32"/>
          <w:highlight w:val="none"/>
          <w:u w:val="none"/>
          <w:lang w:val="en-US" w:eastAsia="zh-CN" w:bidi="ar-SA"/>
        </w:rPr>
        <w:t>9</w:t>
      </w:r>
      <w:r>
        <w:rPr>
          <w:rFonts w:hint="default" w:ascii="Times New Roman" w:hAnsi="Times New Roman" w:eastAsia="仿宋_GB2312" w:cs="Times New Roman"/>
          <w:color w:val="auto"/>
          <w:kern w:val="2"/>
          <w:sz w:val="32"/>
          <w:szCs w:val="32"/>
          <w:highlight w:val="none"/>
          <w:u w:val="none"/>
          <w:lang w:val="en-US" w:eastAsia="zh-CN" w:bidi="ar-SA"/>
        </w:rPr>
        <w:t>月</w:t>
      </w:r>
      <w:r>
        <w:rPr>
          <w:rFonts w:hint="default" w:ascii="Times New Roman" w:hAnsi="Times New Roman" w:eastAsia="仿宋_GB2312" w:cs="Times New Roman"/>
          <w:color w:val="auto"/>
          <w:kern w:val="2"/>
          <w:sz w:val="32"/>
          <w:szCs w:val="32"/>
          <w:highlight w:val="none"/>
          <w:u w:val="none"/>
          <w:lang w:val="en-US" w:eastAsia="zh-CN" w:bidi="ar-SA"/>
        </w:rPr>
        <w:t>17</w:t>
      </w:r>
      <w:r>
        <w:rPr>
          <w:rFonts w:hint="default" w:ascii="Times New Roman" w:hAnsi="Times New Roman" w:eastAsia="仿宋_GB2312" w:cs="Times New Roman"/>
          <w:color w:val="auto"/>
          <w:sz w:val="32"/>
          <w:szCs w:val="32"/>
        </w:rPr>
        <w:t>日</w:t>
      </w:r>
    </w:p>
    <w:p>
      <w:pPr>
        <w:widowControl/>
        <w:spacing w:line="600" w:lineRule="exact"/>
        <w:textAlignment w:val="baseline"/>
        <w:rPr>
          <w:rFonts w:hint="default" w:ascii="Times New Roman" w:hAnsi="Times New Roman" w:eastAsia="仿宋_GB2312" w:cs="Times New Roman"/>
          <w:color w:val="auto"/>
          <w:sz w:val="32"/>
          <w:szCs w:val="32"/>
        </w:rPr>
      </w:pPr>
    </w:p>
    <w:p>
      <w:pPr>
        <w:widowControl/>
        <w:spacing w:line="600" w:lineRule="exact"/>
        <w:textAlignment w:val="baseline"/>
        <w:rPr>
          <w:rFonts w:hint="default" w:ascii="Times New Roman" w:hAnsi="Times New Roman" w:eastAsia="仿宋_GB2312" w:cs="Times New Roman"/>
          <w:color w:val="auto"/>
          <w:sz w:val="32"/>
          <w:szCs w:val="32"/>
        </w:rPr>
      </w:pPr>
    </w:p>
    <w:p>
      <w:pPr>
        <w:widowControl/>
        <w:spacing w:line="600" w:lineRule="exact"/>
        <w:textAlignment w:val="baseline"/>
        <w:rPr>
          <w:rFonts w:hint="default" w:ascii="Times New Roman" w:hAnsi="Times New Roman" w:eastAsia="仿宋_GB2312" w:cs="Times New Roman"/>
          <w:color w:val="auto"/>
          <w:sz w:val="32"/>
          <w:szCs w:val="32"/>
        </w:rPr>
      </w:pPr>
    </w:p>
    <w:p>
      <w:pPr>
        <w:widowControl/>
        <w:spacing w:line="600" w:lineRule="exact"/>
        <w:textAlignment w:val="baseline"/>
        <w:rPr>
          <w:rFonts w:hint="default" w:ascii="Times New Roman" w:hAnsi="Times New Roman" w:eastAsia="仿宋_GB2312" w:cs="Times New Roman"/>
          <w:color w:val="auto"/>
          <w:sz w:val="32"/>
          <w:szCs w:val="32"/>
        </w:rPr>
      </w:pPr>
    </w:p>
    <w:p>
      <w:pPr>
        <w:widowControl/>
        <w:spacing w:line="600" w:lineRule="exact"/>
        <w:textAlignment w:val="baseline"/>
        <w:rPr>
          <w:rFonts w:hint="default" w:ascii="Times New Roman" w:hAnsi="Times New Roman" w:eastAsia="仿宋_GB2312" w:cs="Times New Roman"/>
          <w:color w:val="auto"/>
          <w:sz w:val="32"/>
          <w:szCs w:val="32"/>
        </w:rPr>
      </w:pPr>
    </w:p>
    <w:p>
      <w:pPr>
        <w:widowControl/>
        <w:spacing w:line="600" w:lineRule="exact"/>
        <w:textAlignment w:val="baseline"/>
        <w:rPr>
          <w:rFonts w:hint="default" w:ascii="Times New Roman" w:hAnsi="Times New Roman" w:eastAsia="仿宋_GB2312" w:cs="Times New Roman"/>
          <w:color w:val="auto"/>
          <w:sz w:val="32"/>
          <w:szCs w:val="32"/>
        </w:rPr>
      </w:pPr>
    </w:p>
    <w:p>
      <w:pPr>
        <w:spacing w:line="600" w:lineRule="exac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公开方式：</w:t>
      </w:r>
      <w:r>
        <w:rPr>
          <w:rFonts w:hint="default" w:ascii="Times New Roman" w:hAnsi="Times New Roman" w:eastAsia="仿宋_GB2312" w:cs="Times New Roman"/>
          <w:color w:val="auto"/>
          <w:sz w:val="32"/>
          <w:szCs w:val="32"/>
        </w:rPr>
        <w:t>主动公开</w:t>
      </w:r>
    </w:p>
    <w:p>
      <w:pPr>
        <w:spacing w:line="560" w:lineRule="exact"/>
        <w:ind w:left="1104" w:leftChars="201" w:hanging="690" w:hangingChars="25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抄送：</w:t>
      </w:r>
      <w:r>
        <w:rPr>
          <w:rFonts w:hint="default" w:ascii="Times New Roman" w:hAnsi="Times New Roman" w:eastAsia="仿宋_GB2312" w:cs="Times New Roman"/>
          <w:color w:val="auto"/>
          <w:sz w:val="28"/>
          <w:szCs w:val="28"/>
        </w:rPr>
        <w:t>国家自然资源督察广州局，财政部广东监管局，省财政厅、省人</w:t>
      </w:r>
    </w:p>
    <w:p>
      <w:pPr>
        <w:spacing w:line="560" w:lineRule="exact"/>
        <w:ind w:left="1100" w:leftChars="467" w:hanging="138" w:hangingChars="50"/>
        <w:rPr>
          <w:rFonts w:hint="default" w:ascii="Times New Roman" w:hAnsi="Times New Roman" w:cs="Times New Roman"/>
          <w:color w:val="auto"/>
        </w:rPr>
      </w:pPr>
      <w:r>
        <w:rPr>
          <w:rFonts w:hint="default" w:ascii="Times New Roman" w:hAnsi="Times New Roman" w:eastAsia="仿宋_GB2312" w:cs="Times New Roman"/>
          <w:color w:val="auto"/>
          <w:sz w:val="28"/>
          <w:szCs w:val="28"/>
        </w:rPr>
        <w:t>力资源和社会保障厅、省自然资源厅、省农业农村厅、国家税务总局广东省税务局</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Arial Unicode MS"/>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Fonts w:hint="eastAsia"/>
        <w:sz w:val="28"/>
        <w:szCs w:val="28"/>
      </w:rPr>
    </w:pPr>
    <w:r>
      <w:rPr>
        <w:rStyle w:val="6"/>
        <w:rFonts w:hint="eastAsia"/>
        <w:sz w:val="28"/>
        <w:szCs w:val="28"/>
      </w:rPr>
      <w:t xml:space="preserve">— </w:t>
    </w:r>
    <w:r>
      <w:rPr>
        <w:sz w:val="28"/>
        <w:szCs w:val="28"/>
      </w:rPr>
      <w:fldChar w:fldCharType="begin"/>
    </w:r>
    <w:r>
      <w:rPr>
        <w:rStyle w:val="6"/>
        <w:sz w:val="28"/>
        <w:szCs w:val="28"/>
      </w:rPr>
      <w:instrText xml:space="preserve">PAGE  </w:instrText>
    </w:r>
    <w:r>
      <w:rPr>
        <w:sz w:val="28"/>
        <w:szCs w:val="28"/>
      </w:rPr>
      <w:fldChar w:fldCharType="separate"/>
    </w:r>
    <w:r>
      <w:rPr>
        <w:rStyle w:val="6"/>
        <w:sz w:val="28"/>
        <w:szCs w:val="28"/>
      </w:rPr>
      <w:t>4</w:t>
    </w:r>
    <w:r>
      <w:rPr>
        <w:sz w:val="28"/>
        <w:szCs w:val="28"/>
      </w:rPr>
      <w:fldChar w:fldCharType="end"/>
    </w:r>
    <w:r>
      <w:rPr>
        <w:rStyle w:val="6"/>
        <w:rFonts w:hint="eastAsia"/>
        <w:sz w:val="28"/>
        <w:szCs w:val="28"/>
      </w:rPr>
      <w:t xml:space="preserve"> —</w:t>
    </w:r>
  </w:p>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Pr>
    </w:pPr>
    <w:r>
      <w:fldChar w:fldCharType="begin"/>
    </w:r>
    <w:r>
      <w:rPr>
        <w:rStyle w:val="6"/>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6C2F25"/>
    <w:rsid w:val="02810FF7"/>
    <w:rsid w:val="0346238A"/>
    <w:rsid w:val="055C27B5"/>
    <w:rsid w:val="0C9920D9"/>
    <w:rsid w:val="0F7B02F4"/>
    <w:rsid w:val="0FE8454D"/>
    <w:rsid w:val="109F6DD2"/>
    <w:rsid w:val="13236B26"/>
    <w:rsid w:val="15EA2560"/>
    <w:rsid w:val="204B05F8"/>
    <w:rsid w:val="26AD3E24"/>
    <w:rsid w:val="2E6F1820"/>
    <w:rsid w:val="32043682"/>
    <w:rsid w:val="33935FAE"/>
    <w:rsid w:val="34733AF4"/>
    <w:rsid w:val="381E4F28"/>
    <w:rsid w:val="3BBA7AA0"/>
    <w:rsid w:val="3E8770EB"/>
    <w:rsid w:val="407B1783"/>
    <w:rsid w:val="429C3C8E"/>
    <w:rsid w:val="44481963"/>
    <w:rsid w:val="483A73C5"/>
    <w:rsid w:val="4C9C00C8"/>
    <w:rsid w:val="4F3A3A5E"/>
    <w:rsid w:val="4F5579DC"/>
    <w:rsid w:val="4F617A2B"/>
    <w:rsid w:val="506F56B2"/>
    <w:rsid w:val="51C56C38"/>
    <w:rsid w:val="54AD5139"/>
    <w:rsid w:val="555846C7"/>
    <w:rsid w:val="56A7023F"/>
    <w:rsid w:val="579D2DD8"/>
    <w:rsid w:val="59B07162"/>
    <w:rsid w:val="5D265BA5"/>
    <w:rsid w:val="5D293D56"/>
    <w:rsid w:val="5EE0577F"/>
    <w:rsid w:val="6D593268"/>
    <w:rsid w:val="770C5427"/>
    <w:rsid w:val="7BC435A7"/>
    <w:rsid w:val="7BF82EAB"/>
    <w:rsid w:val="7D793B7C"/>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szCs w:val="18"/>
    </w:rPr>
  </w:style>
  <w:style w:type="character" w:styleId="6">
    <w:name w:val="page number"/>
    <w:basedOn w:val="5"/>
    <w:qFormat/>
    <w:uiPriority w:val="0"/>
  </w:style>
  <w:style w:type="paragraph" w:customStyle="1" w:styleId="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商梓杰</cp:lastModifiedBy>
  <dcterms:modified xsi:type="dcterms:W3CDTF">2026-07-23T01:36:22Z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50C58CED391548A2B10BA66E45B58CF7</vt:lpwstr>
  </property>
</Properties>
</file>