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1B873">
      <w:pPr>
        <w:bidi w:val="0"/>
        <w:rPr>
          <w:rFonts w:hint="eastAsia"/>
        </w:rPr>
      </w:pPr>
    </w:p>
    <w:p w14:paraId="65E2B5D8">
      <w:pPr>
        <w:rPr>
          <w:rFonts w:hint="eastAsia" w:ascii="Times New Roman" w:hAnsi="Times New Roman" w:eastAsia="仿宋_GB2312" w:cs="Times New Roman"/>
          <w:color w:val="auto"/>
          <w:sz w:val="32"/>
          <w:szCs w:val="32"/>
          <w:highlight w:val="none"/>
        </w:rPr>
      </w:pPr>
    </w:p>
    <w:p w14:paraId="5ED74A99">
      <w:pPr>
        <w:bidi w:val="0"/>
        <w:rPr>
          <w:rFonts w:hint="eastAsia"/>
        </w:rPr>
      </w:pPr>
    </w:p>
    <w:p w14:paraId="54F533DC">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137</w:t>
      </w:r>
      <w:r>
        <w:rPr>
          <w:rFonts w:hint="eastAsia" w:ascii="Times New Roman" w:hAnsi="Times New Roman" w:eastAsia="仿宋_GB2312" w:cs="Times New Roman"/>
          <w:color w:val="auto"/>
          <w:sz w:val="32"/>
          <w:szCs w:val="32"/>
          <w:highlight w:val="none"/>
        </w:rPr>
        <w:t>号</w:t>
      </w:r>
    </w:p>
    <w:p w14:paraId="172633B7">
      <w:pPr>
        <w:spacing w:line="600" w:lineRule="exact"/>
        <w:jc w:val="center"/>
        <w:rPr>
          <w:rFonts w:hint="eastAsia" w:ascii="Times New Roman" w:hAnsi="Times New Roman" w:eastAsia="方正小标宋简体" w:cs="方正小标宋简体"/>
          <w:bCs/>
          <w:color w:val="auto"/>
          <w:sz w:val="44"/>
          <w:szCs w:val="44"/>
          <w:highlight w:val="none"/>
        </w:rPr>
      </w:pPr>
    </w:p>
    <w:p w14:paraId="304237B8">
      <w:pPr>
        <w:spacing w:line="560" w:lineRule="exact"/>
        <w:jc w:val="center"/>
        <w:rPr>
          <w:rFonts w:hint="eastAsia" w:ascii="方正小标宋简体" w:hAnsi="方正小标宋简体" w:eastAsia="方正小标宋简体" w:cs="方正小标宋简体"/>
          <w:bCs/>
          <w:color w:val="auto"/>
          <w:w w:val="100"/>
          <w:sz w:val="44"/>
          <w:szCs w:val="44"/>
          <w:highlight w:val="none"/>
          <w:u w:val="none"/>
        </w:rPr>
      </w:pPr>
      <w:r>
        <w:rPr>
          <w:rFonts w:hint="eastAsia" w:ascii="方正小标宋简体" w:hAnsi="方正小标宋简体" w:eastAsia="方正小标宋简体" w:cs="方正小标宋简体"/>
          <w:bCs/>
          <w:color w:val="auto"/>
          <w:w w:val="100"/>
          <w:sz w:val="44"/>
          <w:szCs w:val="44"/>
          <w:highlight w:val="none"/>
        </w:rPr>
        <w:t>广东省人民政府关于</w:t>
      </w:r>
      <w:r>
        <w:rPr>
          <w:rFonts w:hint="eastAsia" w:ascii="方正小标宋简体" w:hAnsi="方正小标宋简体" w:eastAsia="方正小标宋简体" w:cs="方正小标宋简体"/>
          <w:color w:val="auto"/>
          <w:w w:val="100"/>
          <w:sz w:val="44"/>
          <w:szCs w:val="44"/>
        </w:rPr>
        <w:t>广州市</w:t>
      </w:r>
      <w:r>
        <w:rPr>
          <w:rFonts w:hint="eastAsia" w:ascii="方正小标宋简体" w:hAnsi="方正小标宋简体" w:eastAsia="方正小标宋简体" w:cs="方正小标宋简体"/>
          <w:color w:val="auto"/>
          <w:w w:val="100"/>
          <w:sz w:val="44"/>
          <w:szCs w:val="44"/>
          <w:lang w:val="en-US" w:eastAsia="zh-CN"/>
        </w:rPr>
        <w:t>花都区2025年度第一百一十一批次城镇建设用地的</w:t>
      </w:r>
      <w:r>
        <w:rPr>
          <w:rFonts w:hint="eastAsia" w:ascii="方正小标宋简体" w:hAnsi="方正小标宋简体" w:eastAsia="方正小标宋简体" w:cs="方正小标宋简体"/>
          <w:bCs/>
          <w:color w:val="auto"/>
          <w:w w:val="100"/>
          <w:sz w:val="44"/>
          <w:szCs w:val="44"/>
          <w:highlight w:val="none"/>
          <w:u w:val="none"/>
        </w:rPr>
        <w:t>批复</w:t>
      </w:r>
    </w:p>
    <w:p w14:paraId="69F70D04">
      <w:pPr>
        <w:widowControl/>
        <w:spacing w:line="600" w:lineRule="exact"/>
        <w:jc w:val="center"/>
        <w:textAlignment w:val="baseline"/>
        <w:rPr>
          <w:rFonts w:hint="eastAsia" w:ascii="Times New Roman" w:hAnsi="Times New Roman" w:eastAsia="宋体" w:cs="Times New Roman"/>
          <w:b/>
          <w:color w:val="auto"/>
          <w:sz w:val="32"/>
          <w:szCs w:val="32"/>
          <w:highlight w:val="none"/>
          <w:u w:val="none"/>
        </w:rPr>
      </w:pPr>
    </w:p>
    <w:p w14:paraId="03F9B549">
      <w:pPr>
        <w:widowControl/>
        <w:spacing w:line="560" w:lineRule="exact"/>
        <w:jc w:val="left"/>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广州市人民政府：</w:t>
      </w:r>
    </w:p>
    <w:p w14:paraId="6FD4B291">
      <w:pPr>
        <w:widowControl/>
        <w:spacing w:line="560" w:lineRule="exact"/>
        <w:ind w:firstLine="645"/>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你市关于申请广州市</w:t>
      </w:r>
      <w:r>
        <w:rPr>
          <w:rFonts w:hint="eastAsia" w:ascii="仿宋_GB2312" w:hAnsi="仿宋_GB2312" w:eastAsia="仿宋_GB2312" w:cs="仿宋_GB2312"/>
          <w:color w:val="auto"/>
          <w:sz w:val="32"/>
          <w:szCs w:val="32"/>
          <w:lang w:eastAsia="zh-CN"/>
        </w:rPr>
        <w:t>花都</w:t>
      </w:r>
      <w:r>
        <w:rPr>
          <w:rFonts w:hint="eastAsia" w:ascii="仿宋_GB2312" w:hAnsi="仿宋_GB2312" w:eastAsia="仿宋_GB2312" w:cs="仿宋_GB2312"/>
          <w:kern w:val="2"/>
          <w:sz w:val="32"/>
          <w:szCs w:val="32"/>
          <w:lang w:val="en-US" w:eastAsia="zh-CN" w:bidi="ar-SA"/>
        </w:rPr>
        <w:t>区2025年</w:t>
      </w:r>
      <w:r>
        <w:rPr>
          <w:rFonts w:hint="eastAsia" w:ascii="仿宋_GB2312" w:hAnsi="仿宋_GB2312" w:eastAsia="仿宋_GB2312" w:cs="仿宋_GB2312"/>
          <w:color w:val="auto"/>
          <w:sz w:val="32"/>
          <w:szCs w:val="32"/>
          <w:lang w:val="en-US" w:eastAsia="zh-CN"/>
        </w:rPr>
        <w:t>度第一百一十一批次</w:t>
      </w:r>
      <w:r>
        <w:rPr>
          <w:rFonts w:hint="eastAsia" w:ascii="仿宋_GB2312" w:hAnsi="仿宋_GB2312" w:eastAsia="仿宋_GB2312" w:cs="仿宋_GB2312"/>
          <w:color w:val="auto"/>
          <w:sz w:val="32"/>
          <w:szCs w:val="32"/>
          <w:highlight w:val="none"/>
          <w:u w:val="none"/>
          <w:lang w:val="en-US" w:eastAsia="zh-CN"/>
        </w:rPr>
        <w:t>城镇建设用地土地征收的请示收悉</w:t>
      </w:r>
      <w:r>
        <w:rPr>
          <w:rFonts w:hint="eastAsia" w:ascii="仿宋_GB2312" w:hAnsi="仿宋_GB2312" w:eastAsia="仿宋_GB2312" w:cs="仿宋_GB2312"/>
          <w:color w:val="auto"/>
          <w:sz w:val="32"/>
          <w:szCs w:val="32"/>
          <w:highlight w:val="none"/>
          <w:u w:val="none"/>
          <w:lang w:eastAsia="zh-CN"/>
        </w:rPr>
        <w:t>，现</w:t>
      </w:r>
      <w:r>
        <w:rPr>
          <w:rFonts w:hint="eastAsia" w:ascii="仿宋_GB2312" w:hAnsi="仿宋_GB2312" w:eastAsia="仿宋_GB2312" w:cs="仿宋_GB2312"/>
          <w:color w:val="auto"/>
          <w:sz w:val="32"/>
          <w:szCs w:val="32"/>
          <w:highlight w:val="none"/>
          <w:u w:val="none"/>
        </w:rPr>
        <w:t>批复如下：</w:t>
      </w:r>
    </w:p>
    <w:p w14:paraId="4BFD6C75">
      <w:pPr>
        <w:pStyle w:val="6"/>
        <w:widowControl w:val="0"/>
        <w:autoSpaceDE w:val="0"/>
        <w:autoSpaceDN w:val="0"/>
        <w:spacing w:line="580" w:lineRule="exact"/>
        <w:ind w:firstLine="626" w:firstLineChars="200"/>
        <w:textAlignment w:val="auto"/>
        <w:rPr>
          <w:rFonts w:hint="eastAsia" w:ascii="仿宋_GB2312" w:hAnsi="仿宋_GB2312" w:eastAsia="仿宋_GB2312" w:cs="仿宋_GB2312"/>
          <w:color w:val="auto"/>
          <w:w w:val="98"/>
          <w:sz w:val="32"/>
          <w:szCs w:val="32"/>
          <w:highlight w:val="none"/>
        </w:rPr>
      </w:pPr>
      <w:r>
        <w:rPr>
          <w:rFonts w:hint="eastAsia" w:ascii="仿宋_GB2312" w:hAnsi="仿宋_GB2312" w:eastAsia="仿宋_GB2312" w:cs="仿宋_GB2312"/>
          <w:color w:val="auto"/>
          <w:w w:val="98"/>
          <w:sz w:val="32"/>
          <w:szCs w:val="32"/>
          <w:highlight w:val="none"/>
          <w:lang w:eastAsia="zh-CN"/>
        </w:rPr>
        <w:t>一、</w:t>
      </w:r>
      <w:r>
        <w:rPr>
          <w:rFonts w:hint="eastAsia" w:ascii="仿宋_GB2312" w:hAnsi="仿宋_GB2312" w:eastAsia="仿宋_GB2312" w:cs="仿宋_GB2312"/>
          <w:color w:val="auto"/>
          <w:w w:val="98"/>
          <w:sz w:val="32"/>
          <w:szCs w:val="32"/>
          <w:highlight w:val="none"/>
        </w:rPr>
        <w:t>同意使用</w:t>
      </w:r>
      <w:r>
        <w:rPr>
          <w:rFonts w:hint="eastAsia" w:ascii="仿宋_GB2312" w:hAnsi="仿宋_GB2312" w:eastAsia="仿宋_GB2312" w:cs="仿宋_GB2312"/>
          <w:color w:val="000000"/>
          <w:w w:val="98"/>
          <w:kern w:val="2"/>
          <w:sz w:val="32"/>
          <w:szCs w:val="32"/>
          <w:lang w:val="en-US" w:eastAsia="zh-CN" w:bidi="ar-SA"/>
        </w:rPr>
        <w:t>18.8692</w:t>
      </w:r>
      <w:r>
        <w:rPr>
          <w:rFonts w:hint="eastAsia" w:ascii="仿宋_GB2312" w:hAnsi="仿宋_GB2312" w:eastAsia="仿宋_GB2312" w:cs="仿宋_GB2312"/>
          <w:color w:val="auto"/>
          <w:w w:val="98"/>
          <w:sz w:val="32"/>
          <w:szCs w:val="32"/>
          <w:highlight w:val="none"/>
        </w:rPr>
        <w:t>公顷城</w:t>
      </w:r>
      <w:r>
        <w:rPr>
          <w:rFonts w:hint="eastAsia" w:ascii="仿宋_GB2312" w:hAnsi="仿宋_GB2312" w:eastAsia="仿宋_GB2312" w:cs="仿宋_GB2312"/>
          <w:color w:val="auto"/>
          <w:w w:val="98"/>
          <w:sz w:val="32"/>
          <w:szCs w:val="32"/>
          <w:highlight w:val="none"/>
          <w:lang w:eastAsia="zh-CN"/>
        </w:rPr>
        <w:t>镇</w:t>
      </w:r>
      <w:r>
        <w:rPr>
          <w:rFonts w:hint="eastAsia" w:ascii="仿宋_GB2312" w:hAnsi="仿宋_GB2312" w:eastAsia="仿宋_GB2312" w:cs="仿宋_GB2312"/>
          <w:color w:val="auto"/>
          <w:w w:val="98"/>
          <w:sz w:val="32"/>
          <w:szCs w:val="32"/>
          <w:highlight w:val="none"/>
        </w:rPr>
        <w:t>建设用地</w:t>
      </w:r>
      <w:r>
        <w:rPr>
          <w:rFonts w:hint="eastAsia" w:ascii="Times New Roman" w:hAnsi="Times New Roman" w:eastAsia="仿宋_GB2312" w:cs="Times New Roman"/>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lang w:eastAsia="zh-CN"/>
        </w:rPr>
        <w:t>即</w:t>
      </w:r>
      <w:r>
        <w:rPr>
          <w:rFonts w:hint="eastAsia" w:ascii="仿宋_GB2312" w:hAnsi="仿宋_GB2312" w:eastAsia="仿宋_GB2312" w:cs="仿宋_GB2312"/>
          <w:color w:val="auto"/>
          <w:w w:val="98"/>
          <w:sz w:val="32"/>
          <w:szCs w:val="32"/>
          <w:highlight w:val="none"/>
          <w:u w:val="none"/>
        </w:rPr>
        <w:t>同意你市将</w:t>
      </w:r>
      <w:r>
        <w:rPr>
          <w:rFonts w:hint="eastAsia" w:ascii="仿宋_GB2312" w:hAnsi="仿宋_GB2312" w:eastAsia="仿宋_GB2312" w:cs="仿宋_GB2312"/>
          <w:color w:val="auto"/>
          <w:w w:val="98"/>
          <w:kern w:val="2"/>
          <w:sz w:val="32"/>
          <w:szCs w:val="32"/>
          <w:lang w:val="en-US" w:eastAsia="zh-CN" w:bidi="ar-SA"/>
        </w:rPr>
        <w:t>花都区花城街杨二村经济联合社、狮岭镇合成经济联合社、新民经济联合社、新民村第九经济合作社、新民村第十经济合作社、新扬经济联合社、新扬村罗洪祥经济合作社、新扬村向西屋经济合作社</w:t>
      </w:r>
      <w:r>
        <w:rPr>
          <w:rFonts w:hint="eastAsia" w:ascii="仿宋_GB2312" w:hAnsi="仿宋_GB2312" w:eastAsia="仿宋_GB2312" w:cs="仿宋_GB2312"/>
          <w:color w:val="auto"/>
          <w:w w:val="98"/>
          <w:sz w:val="32"/>
          <w:szCs w:val="32"/>
          <w:highlight w:val="none"/>
          <w:u w:val="none"/>
        </w:rPr>
        <w:t>属下的集体农用地</w:t>
      </w:r>
      <w:r>
        <w:rPr>
          <w:rFonts w:hint="eastAsia" w:ascii="仿宋_GB2312" w:hAnsi="仿宋_GB2312" w:eastAsia="仿宋_GB2312" w:cs="仿宋_GB2312"/>
          <w:color w:val="000000"/>
          <w:w w:val="98"/>
          <w:sz w:val="32"/>
          <w:szCs w:val="32"/>
          <w:lang w:val="en-US" w:eastAsia="zh-CN"/>
        </w:rPr>
        <w:t>16.2879</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其中</w:t>
      </w:r>
      <w:r>
        <w:rPr>
          <w:rFonts w:hint="eastAsia" w:ascii="仿宋_GB2312" w:hAnsi="仿宋_GB2312" w:eastAsia="仿宋_GB2312" w:cs="仿宋_GB2312"/>
          <w:color w:val="auto"/>
          <w:w w:val="98"/>
          <w:sz w:val="32"/>
          <w:szCs w:val="32"/>
          <w:highlight w:val="none"/>
          <w:u w:val="none"/>
        </w:rPr>
        <w:t>耕地</w:t>
      </w:r>
      <w:r>
        <w:rPr>
          <w:rFonts w:hint="eastAsia" w:ascii="仿宋_GB2312" w:hAnsi="仿宋_GB2312" w:eastAsia="仿宋_GB2312" w:cs="仿宋_GB2312"/>
          <w:color w:val="000000"/>
          <w:w w:val="98"/>
          <w:sz w:val="32"/>
          <w:szCs w:val="32"/>
          <w:lang w:val="en-US" w:eastAsia="zh-CN"/>
        </w:rPr>
        <w:t>0.4997</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未利用地</w:t>
      </w:r>
      <w:r>
        <w:rPr>
          <w:rFonts w:hint="eastAsia" w:ascii="仿宋_GB2312" w:hAnsi="仿宋_GB2312" w:eastAsia="仿宋_GB2312" w:cs="仿宋_GB2312"/>
          <w:color w:val="000000"/>
          <w:w w:val="98"/>
          <w:sz w:val="32"/>
          <w:szCs w:val="32"/>
          <w:lang w:val="en-US" w:eastAsia="zh-CN"/>
        </w:rPr>
        <w:t>0.1428</w:t>
      </w:r>
      <w:r>
        <w:rPr>
          <w:rFonts w:hint="eastAsia" w:ascii="仿宋_GB2312" w:hAnsi="仿宋_GB2312" w:eastAsia="仿宋_GB2312" w:cs="仿宋_GB2312"/>
          <w:color w:val="auto"/>
          <w:w w:val="98"/>
          <w:sz w:val="32"/>
          <w:szCs w:val="32"/>
          <w:highlight w:val="none"/>
          <w:u w:val="none"/>
        </w:rPr>
        <w:t>公顷转为建设用地</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同时使用上述有关村集体建设用地</w:t>
      </w:r>
      <w:r>
        <w:rPr>
          <w:rFonts w:hint="eastAsia" w:ascii="仿宋_GB2312" w:hAnsi="仿宋_GB2312" w:eastAsia="仿宋_GB2312" w:cs="仿宋_GB2312"/>
          <w:color w:val="000000"/>
          <w:w w:val="98"/>
          <w:sz w:val="32"/>
          <w:szCs w:val="32"/>
          <w:lang w:val="en-US" w:eastAsia="zh-CN"/>
        </w:rPr>
        <w:t>0.9441</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以上合计</w:t>
      </w:r>
      <w:r>
        <w:rPr>
          <w:rFonts w:hint="eastAsia" w:ascii="仿宋_GB2312" w:hAnsi="仿宋_GB2312" w:eastAsia="仿宋_GB2312" w:cs="仿宋_GB2312"/>
          <w:color w:val="000000"/>
          <w:w w:val="98"/>
          <w:sz w:val="32"/>
          <w:szCs w:val="32"/>
          <w:lang w:val="en-US" w:eastAsia="zh-CN"/>
        </w:rPr>
        <w:t>17.3748</w:t>
      </w:r>
      <w:r>
        <w:rPr>
          <w:rFonts w:hint="eastAsia" w:ascii="仿宋_GB2312" w:hAnsi="仿宋_GB2312" w:eastAsia="仿宋_GB2312" w:cs="仿宋_GB2312"/>
          <w:color w:val="auto"/>
          <w:w w:val="98"/>
          <w:sz w:val="32"/>
          <w:szCs w:val="32"/>
          <w:highlight w:val="none"/>
          <w:u w:val="none"/>
        </w:rPr>
        <w:t>公顷集体土地一并办理</w:t>
      </w:r>
      <w:r>
        <w:rPr>
          <w:rFonts w:hint="eastAsia" w:ascii="仿宋_GB2312" w:hAnsi="仿宋_GB2312" w:eastAsia="仿宋_GB2312" w:cs="仿宋_GB2312"/>
          <w:color w:val="auto"/>
          <w:w w:val="98"/>
          <w:sz w:val="32"/>
          <w:szCs w:val="32"/>
          <w:highlight w:val="none"/>
          <w:u w:val="none"/>
          <w:lang w:eastAsia="zh-CN"/>
        </w:rPr>
        <w:t>征地</w:t>
      </w:r>
      <w:r>
        <w:rPr>
          <w:rFonts w:hint="eastAsia" w:ascii="仿宋_GB2312" w:hAnsi="仿宋_GB2312" w:eastAsia="仿宋_GB2312" w:cs="仿宋_GB2312"/>
          <w:color w:val="auto"/>
          <w:w w:val="98"/>
          <w:sz w:val="32"/>
          <w:szCs w:val="32"/>
          <w:highlight w:val="none"/>
          <w:u w:val="none"/>
        </w:rPr>
        <w:t>手续</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rPr>
        <w:t>另同意你市将</w:t>
      </w:r>
      <w:r>
        <w:rPr>
          <w:rFonts w:hint="eastAsia" w:ascii="仿宋_GB2312" w:hAnsi="仿宋_GB2312" w:eastAsia="仿宋_GB2312" w:cs="仿宋_GB2312"/>
          <w:color w:val="000000"/>
          <w:w w:val="98"/>
          <w:sz w:val="32"/>
          <w:szCs w:val="32"/>
          <w:lang w:val="en-US" w:eastAsia="zh-CN"/>
        </w:rPr>
        <w:t>花都区人民政府</w:t>
      </w:r>
      <w:r>
        <w:rPr>
          <w:rFonts w:hint="eastAsia" w:ascii="仿宋_GB2312" w:hAnsi="仿宋_GB2312" w:eastAsia="仿宋_GB2312" w:cs="仿宋_GB2312"/>
          <w:color w:val="auto"/>
          <w:w w:val="98"/>
          <w:sz w:val="32"/>
          <w:szCs w:val="32"/>
          <w:highlight w:val="none"/>
        </w:rPr>
        <w:t>属下的国有农用地</w:t>
      </w:r>
      <w:r>
        <w:rPr>
          <w:rFonts w:hint="eastAsia" w:ascii="仿宋_GB2312" w:hAnsi="仿宋_GB2312" w:eastAsia="仿宋_GB2312" w:cs="仿宋_GB2312"/>
          <w:color w:val="000000"/>
          <w:w w:val="98"/>
          <w:sz w:val="32"/>
          <w:szCs w:val="32"/>
          <w:lang w:val="en-US" w:eastAsia="zh-CN"/>
        </w:rPr>
        <w:t>1.4359</w:t>
      </w:r>
      <w:r>
        <w:rPr>
          <w:rFonts w:hint="eastAsia" w:ascii="仿宋_GB2312" w:hAnsi="仿宋_GB2312" w:eastAsia="仿宋_GB2312" w:cs="仿宋_GB2312"/>
          <w:color w:val="auto"/>
          <w:w w:val="98"/>
          <w:sz w:val="32"/>
          <w:szCs w:val="32"/>
          <w:highlight w:val="none"/>
        </w:rPr>
        <w:t>公顷（</w:t>
      </w:r>
      <w:r>
        <w:rPr>
          <w:rFonts w:hint="eastAsia" w:ascii="仿宋_GB2312" w:hAnsi="仿宋_GB2312" w:eastAsia="仿宋_GB2312" w:cs="仿宋_GB2312"/>
          <w:color w:val="000000"/>
          <w:w w:val="98"/>
          <w:sz w:val="32"/>
          <w:szCs w:val="32"/>
          <w:lang w:val="en-US" w:eastAsia="zh-CN"/>
        </w:rPr>
        <w:t>不涉及</w:t>
      </w:r>
      <w:r>
        <w:rPr>
          <w:rFonts w:hint="eastAsia" w:ascii="仿宋_GB2312" w:hAnsi="仿宋_GB2312" w:eastAsia="仿宋_GB2312" w:cs="仿宋_GB2312"/>
          <w:color w:val="000000"/>
          <w:w w:val="98"/>
          <w:sz w:val="32"/>
          <w:szCs w:val="32"/>
          <w:lang w:eastAsia="zh-CN"/>
        </w:rPr>
        <w:t>耕地</w:t>
      </w:r>
      <w:r>
        <w:rPr>
          <w:rFonts w:hint="eastAsia" w:ascii="仿宋_GB2312" w:hAnsi="仿宋_GB2312" w:eastAsia="仿宋_GB2312" w:cs="仿宋_GB2312"/>
          <w:color w:val="auto"/>
          <w:w w:val="98"/>
          <w:sz w:val="32"/>
          <w:szCs w:val="32"/>
          <w:highlight w:val="none"/>
        </w:rPr>
        <w:t>）转为建设用地</w:t>
      </w:r>
      <w:r>
        <w:rPr>
          <w:rFonts w:hint="eastAsia" w:ascii="仿宋_GB2312" w:hAnsi="仿宋_GB2312" w:eastAsia="仿宋_GB2312" w:cs="仿宋_GB2312"/>
          <w:color w:val="auto"/>
          <w:w w:val="98"/>
          <w:sz w:val="32"/>
          <w:szCs w:val="32"/>
          <w:highlight w:val="none"/>
          <w:lang w:eastAsia="zh-CN"/>
        </w:rPr>
        <w:t>，</w:t>
      </w:r>
      <w:r>
        <w:rPr>
          <w:rFonts w:hint="eastAsia" w:ascii="仿宋_GB2312" w:hAnsi="仿宋_GB2312" w:eastAsia="仿宋_GB2312" w:cs="仿宋_GB2312"/>
          <w:color w:val="auto"/>
          <w:w w:val="98"/>
          <w:sz w:val="32"/>
          <w:szCs w:val="32"/>
          <w:highlight w:val="none"/>
        </w:rPr>
        <w:t>同时使用上述有关单位建设用地</w:t>
      </w:r>
      <w:r>
        <w:rPr>
          <w:rFonts w:hint="eastAsia" w:ascii="仿宋_GB2312" w:hAnsi="仿宋_GB2312" w:eastAsia="仿宋_GB2312" w:cs="仿宋_GB2312"/>
          <w:color w:val="000000"/>
          <w:w w:val="98"/>
          <w:sz w:val="32"/>
          <w:szCs w:val="32"/>
          <w:highlight w:val="none"/>
          <w:lang w:val="en-US" w:eastAsia="zh-CN" w:bidi="ar"/>
        </w:rPr>
        <w:t>0.0585</w:t>
      </w:r>
      <w:r>
        <w:rPr>
          <w:rFonts w:hint="eastAsia" w:ascii="仿宋_GB2312" w:hAnsi="仿宋_GB2312" w:eastAsia="仿宋_GB2312" w:cs="仿宋_GB2312"/>
          <w:color w:val="auto"/>
          <w:w w:val="98"/>
          <w:sz w:val="32"/>
          <w:szCs w:val="32"/>
          <w:highlight w:val="none"/>
        </w:rPr>
        <w:t>公顷。</w:t>
      </w:r>
      <w:r>
        <w:rPr>
          <w:rFonts w:hint="eastAsia" w:ascii="仿宋_GB2312" w:hAnsi="仿宋_GB2312" w:eastAsia="仿宋_GB2312" w:cs="仿宋_GB2312"/>
          <w:color w:val="auto"/>
          <w:w w:val="98"/>
          <w:sz w:val="32"/>
          <w:szCs w:val="32"/>
          <w:highlight w:val="none"/>
          <w:u w:val="none"/>
        </w:rPr>
        <w:t>上述</w:t>
      </w:r>
      <w:r>
        <w:rPr>
          <w:rFonts w:hint="eastAsia" w:ascii="仿宋_GB2312" w:hAnsi="仿宋_GB2312" w:eastAsia="仿宋_GB2312" w:cs="仿宋_GB2312"/>
          <w:color w:val="auto"/>
          <w:w w:val="98"/>
          <w:sz w:val="32"/>
          <w:szCs w:val="32"/>
          <w:highlight w:val="none"/>
          <w:u w:val="none"/>
          <w:lang w:eastAsia="zh-CN"/>
        </w:rPr>
        <w:t>批准建设用地</w:t>
      </w:r>
      <w:r>
        <w:rPr>
          <w:rFonts w:hint="eastAsia" w:ascii="仿宋_GB2312" w:hAnsi="仿宋_GB2312" w:eastAsia="仿宋_GB2312" w:cs="仿宋_GB2312"/>
          <w:color w:val="000000"/>
          <w:w w:val="98"/>
          <w:sz w:val="32"/>
          <w:szCs w:val="32"/>
          <w:lang w:val="en-US" w:eastAsia="zh-CN"/>
        </w:rPr>
        <w:t>18.8692</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lang w:val="en-US" w:eastAsia="zh-CN"/>
        </w:rPr>
        <w:t>由</w:t>
      </w:r>
      <w:r>
        <w:rPr>
          <w:rFonts w:hint="eastAsia" w:ascii="仿宋_GB2312" w:hAnsi="仿宋_GB2312" w:eastAsia="仿宋_GB2312" w:cs="仿宋_GB2312"/>
          <w:color w:val="auto"/>
          <w:w w:val="98"/>
          <w:kern w:val="0"/>
          <w:sz w:val="32"/>
          <w:szCs w:val="32"/>
          <w:highlight w:val="none"/>
          <w:u w:val="none"/>
          <w:lang w:val="en-US" w:eastAsia="zh-CN" w:bidi="ar"/>
        </w:rPr>
        <w:t>当地人民政府依法依规供应</w:t>
      </w:r>
      <w:r>
        <w:rPr>
          <w:rFonts w:hint="eastAsia" w:ascii="仿宋_GB2312" w:hAnsi="仿宋_GB2312" w:eastAsia="仿宋_GB2312" w:cs="仿宋_GB2312"/>
          <w:color w:val="auto"/>
          <w:w w:val="98"/>
          <w:sz w:val="32"/>
          <w:szCs w:val="32"/>
          <w:highlight w:val="none"/>
        </w:rPr>
        <w:t>。</w:t>
      </w:r>
    </w:p>
    <w:p w14:paraId="51E88313">
      <w:pPr>
        <w:widowControl/>
        <w:spacing w:line="560" w:lineRule="exact"/>
        <w:ind w:firstLine="645"/>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请你</w:t>
      </w:r>
      <w:r>
        <w:rPr>
          <w:rFonts w:hint="eastAsia" w:ascii="仿宋_GB2312" w:hAnsi="仿宋_GB2312" w:eastAsia="仿宋_GB2312" w:cs="仿宋_GB2312"/>
          <w:color w:val="auto"/>
          <w:kern w:val="0"/>
          <w:sz w:val="32"/>
          <w:szCs w:val="32"/>
          <w:highlight w:val="none"/>
          <w:lang w:eastAsia="zh-CN" w:bidi="ar"/>
        </w:rPr>
        <w:t>市人民</w:t>
      </w:r>
      <w:r>
        <w:rPr>
          <w:rFonts w:hint="eastAsia" w:ascii="仿宋_GB2312" w:hAnsi="仿宋_GB2312" w:eastAsia="仿宋_GB2312" w:cs="仿宋_GB2312"/>
          <w:color w:val="auto"/>
          <w:kern w:val="0"/>
          <w:sz w:val="32"/>
          <w:szCs w:val="32"/>
          <w:highlight w:val="none"/>
          <w:lang w:val="en-US" w:eastAsia="zh-CN" w:bidi="ar"/>
        </w:rPr>
        <w:t>政府负责落实补充耕地</w:t>
      </w:r>
      <w:r>
        <w:rPr>
          <w:rFonts w:hint="eastAsia" w:ascii="仿宋_GB2312" w:hAnsi="仿宋_GB2312" w:eastAsia="仿宋_GB2312" w:cs="仿宋_GB2312"/>
          <w:color w:val="auto"/>
          <w:sz w:val="32"/>
          <w:szCs w:val="32"/>
          <w:highlight w:val="none"/>
        </w:rPr>
        <w:t>。督促补充耕地责任单位认真</w:t>
      </w:r>
      <w:r>
        <w:rPr>
          <w:rFonts w:hint="eastAsia" w:ascii="仿宋_GB2312" w:hAnsi="仿宋_GB2312" w:eastAsia="仿宋_GB2312" w:cs="仿宋_GB2312"/>
          <w:color w:val="auto"/>
          <w:sz w:val="32"/>
          <w:szCs w:val="32"/>
          <w:highlight w:val="none"/>
          <w:lang w:eastAsia="zh-CN"/>
        </w:rPr>
        <w:t>落实耕地占补平衡，</w:t>
      </w:r>
      <w:r>
        <w:rPr>
          <w:rFonts w:hint="eastAsia" w:ascii="仿宋_GB2312" w:hAnsi="仿宋_GB2312" w:eastAsia="仿宋_GB2312" w:cs="仿宋_GB2312"/>
          <w:color w:val="auto"/>
          <w:sz w:val="32"/>
          <w:szCs w:val="32"/>
          <w:highlight w:val="none"/>
        </w:rPr>
        <w:t>补充数量相等、质量相当的耕地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对应核销耕地数量、水田规模指标（确认信息编号：</w:t>
      </w:r>
      <w:r>
        <w:rPr>
          <w:rFonts w:hint="eastAsia" w:ascii="仿宋_GB2312" w:hAnsi="仿宋_GB2312" w:eastAsia="仿宋_GB2312" w:cs="仿宋_GB2312"/>
          <w:color w:val="000000"/>
          <w:sz w:val="32"/>
          <w:szCs w:val="32"/>
          <w:highlight w:val="none"/>
          <w:lang w:val="en-US" w:eastAsia="zh-CN"/>
        </w:rPr>
        <w:t>440114202601120012</w:t>
      </w:r>
      <w:r>
        <w:rPr>
          <w:rFonts w:hint="eastAsia" w:ascii="仿宋_GB2312" w:hAnsi="仿宋_GB2312" w:eastAsia="仿宋_GB2312" w:cs="仿宋_GB2312"/>
          <w:color w:val="auto"/>
          <w:sz w:val="32"/>
          <w:szCs w:val="32"/>
          <w:highlight w:val="none"/>
        </w:rPr>
        <w:t>）。</w:t>
      </w:r>
    </w:p>
    <w:p w14:paraId="5F932B00">
      <w:pPr>
        <w:widowControl/>
        <w:spacing w:line="560" w:lineRule="exact"/>
        <w:ind w:firstLine="645"/>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3081F737">
      <w:pPr>
        <w:widowControl/>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四、</w:t>
      </w:r>
      <w:r>
        <w:rPr>
          <w:rFonts w:hint="eastAsia" w:ascii="仿宋_GB2312" w:hAnsi="仿宋_GB2312" w:eastAsia="仿宋_GB2312" w:cs="仿宋_GB2312"/>
          <w:b w:val="0"/>
          <w:bCs w:val="0"/>
          <w:color w:val="auto"/>
          <w:kern w:val="0"/>
          <w:sz w:val="32"/>
          <w:szCs w:val="32"/>
          <w:highlight w:val="none"/>
          <w:lang w:eastAsia="zh-CN" w:bidi="ar"/>
        </w:rPr>
        <w:t>使用土地涉及的耕地占用税等有关税费请按规定办理</w:t>
      </w:r>
      <w:r>
        <w:rPr>
          <w:rFonts w:hint="eastAsia" w:ascii="仿宋_GB2312" w:hAnsi="仿宋_GB2312" w:eastAsia="仿宋_GB2312" w:cs="仿宋_GB2312"/>
          <w:color w:val="auto"/>
          <w:kern w:val="0"/>
          <w:sz w:val="32"/>
          <w:szCs w:val="32"/>
          <w:highlight w:val="none"/>
          <w:lang w:val="en-US" w:eastAsia="zh-CN" w:bidi="ar"/>
        </w:rPr>
        <w:t>。</w:t>
      </w:r>
    </w:p>
    <w:p w14:paraId="30FB24FE">
      <w:pPr>
        <w:widowControl/>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0CAE57BE">
      <w:pPr>
        <w:widowControl/>
        <w:spacing w:line="600" w:lineRule="exact"/>
        <w:textAlignment w:val="baseline"/>
        <w:rPr>
          <w:rFonts w:hint="eastAsia" w:ascii="仿宋_GB2312" w:hAnsi="仿宋_GB2312" w:eastAsia="仿宋_GB2312" w:cs="仿宋_GB2312"/>
          <w:color w:val="auto"/>
          <w:sz w:val="32"/>
          <w:szCs w:val="32"/>
          <w:highlight w:val="none"/>
        </w:rPr>
      </w:pPr>
    </w:p>
    <w:p w14:paraId="6C7701CF">
      <w:pPr>
        <w:widowControl/>
        <w:spacing w:line="600" w:lineRule="exact"/>
        <w:ind w:firstLine="645"/>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广东省人民政府</w:t>
      </w:r>
    </w:p>
    <w:p w14:paraId="1F34A257">
      <w:pPr>
        <w:widowControl/>
        <w:spacing w:line="600" w:lineRule="exact"/>
        <w:ind w:firstLine="645"/>
        <w:jc w:val="center"/>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日</w:t>
      </w:r>
    </w:p>
    <w:p w14:paraId="04F2C7D0">
      <w:pPr>
        <w:widowControl/>
        <w:spacing w:line="600" w:lineRule="exact"/>
        <w:textAlignment w:val="baseline"/>
        <w:rPr>
          <w:rFonts w:hint="eastAsia" w:ascii="仿宋_GB2312" w:hAnsi="仿宋_GB2312" w:eastAsia="仿宋_GB2312" w:cs="仿宋_GB2312"/>
          <w:color w:val="auto"/>
          <w:sz w:val="32"/>
          <w:szCs w:val="32"/>
          <w:highlight w:val="none"/>
        </w:rPr>
      </w:pPr>
    </w:p>
    <w:p w14:paraId="3619774C">
      <w:pPr>
        <w:spacing w:line="560" w:lineRule="exact"/>
        <w:ind w:left="1033" w:leftChars="200" w:hanging="613" w:hangingChars="292"/>
        <w:rPr>
          <w:rFonts w:hint="eastAsia" w:ascii="仿宋_GB2312" w:hAnsi="仿宋_GB2312" w:eastAsia="仿宋_GB2312" w:cs="仿宋_GB2312"/>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62363"/>
    <w:rsid w:val="03F248D4"/>
    <w:rsid w:val="18CC2BB3"/>
    <w:rsid w:val="211A0633"/>
    <w:rsid w:val="219A4117"/>
    <w:rsid w:val="22745D02"/>
    <w:rsid w:val="2D362363"/>
    <w:rsid w:val="351E6B98"/>
    <w:rsid w:val="42503BC8"/>
    <w:rsid w:val="43486A50"/>
    <w:rsid w:val="4BD0237D"/>
    <w:rsid w:val="679F1332"/>
    <w:rsid w:val="6F456454"/>
    <w:rsid w:val="75A623EF"/>
    <w:rsid w:val="78983E95"/>
    <w:rsid w:val="7E843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750</Words>
  <Characters>832</Characters>
  <Lines>0</Lines>
  <Paragraphs>0</Paragraphs>
  <TotalTime>13</TotalTime>
  <ScaleCrop>false</ScaleCrop>
  <LinksUpToDate>false</LinksUpToDate>
  <CharactersWithSpaces>891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2026-06-01T02:23:00Z</dcterms:created>
  <dc:creator>钱威</dc:creator>
  <cp:lastModifiedBy>Administrator</cp:lastModifiedBy>
  <dcterms:modified xsi:type="dcterms:W3CDTF">2026-07-27T08:56:46Z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E764376E26BA46E0A61E923BB9A9E355</vt:lpwstr>
  </property>
  <property fmtid="{D5CDD505-2E9C-101B-9397-08002B2CF9AE}" pid="4" name="KSOTemplateDocerSaveRecord">
    <vt:lpwstr>eyJoZGlkIjoiODM4NGFmNzMyMzhjMGY3YjkxZWNkM2Q0NDdhZmJkMmQiLCJ1c2VySWQiOiIzMTAyMTQ4OTYifQ==</vt:lpwstr>
  </property>
</Properties>
</file>